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center"/>
        <w:rPr>
          <w:rFonts w:ascii="Arial" w:hAnsi="Arial" w:cs="Arial"/>
          <w:b/>
        </w:rPr>
      </w:pPr>
    </w:p>
    <w:p w:rsidR="001C7A24" w:rsidRPr="001C7A24" w:rsidRDefault="001C7A24" w:rsidP="001C7A24">
      <w:pPr>
        <w:jc w:val="center"/>
        <w:rPr>
          <w:rFonts w:ascii="Arial" w:hAnsi="Arial" w:cs="Arial"/>
          <w:b/>
          <w:sz w:val="32"/>
          <w:szCs w:val="32"/>
        </w:rPr>
      </w:pP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АДМИНИСТРАЦИЯ</w:t>
      </w: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НИЖНЕБОРКОВСКОГО   СЕЛЬСОВЕТА</w:t>
      </w: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ГОРШЕЧЕНСКОГО РАЙОНА  КУРСКОЙ ОБЛАСТИ</w:t>
      </w: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ПОСТАНОВЛЕНИЕ</w:t>
      </w: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20 марта 2018 г        №9</w:t>
      </w:r>
    </w:p>
    <w:p w:rsidR="001C7A24" w:rsidRPr="001C7A24" w:rsidRDefault="001C7A24" w:rsidP="001C7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C7A24" w:rsidRPr="001C7A24" w:rsidRDefault="001C7A24" w:rsidP="001C7A24">
      <w:pPr>
        <w:jc w:val="center"/>
        <w:rPr>
          <w:rFonts w:ascii="Arial" w:hAnsi="Arial" w:cs="Arial"/>
          <w:b/>
          <w:sz w:val="32"/>
          <w:szCs w:val="32"/>
        </w:rPr>
      </w:pPr>
    </w:p>
    <w:p w:rsidR="001C7A24" w:rsidRPr="001C7A24" w:rsidRDefault="001C7A24" w:rsidP="001C7A24">
      <w:pPr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Об утверждении Положения о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C7A24">
        <w:rPr>
          <w:rFonts w:ascii="Arial" w:hAnsi="Arial" w:cs="Arial"/>
          <w:b/>
          <w:sz w:val="32"/>
          <w:szCs w:val="32"/>
        </w:rPr>
        <w:t>муниципально-частного</w:t>
      </w:r>
      <w:proofErr w:type="spellEnd"/>
      <w:r w:rsidRPr="001C7A24">
        <w:rPr>
          <w:rFonts w:ascii="Arial" w:hAnsi="Arial" w:cs="Arial"/>
          <w:b/>
          <w:sz w:val="32"/>
          <w:szCs w:val="32"/>
        </w:rPr>
        <w:t xml:space="preserve"> партнерства 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C7A24">
        <w:rPr>
          <w:rFonts w:ascii="Arial" w:hAnsi="Arial" w:cs="Arial"/>
          <w:b/>
          <w:sz w:val="32"/>
          <w:szCs w:val="32"/>
        </w:rPr>
        <w:t>территории муниципального образования</w:t>
      </w:r>
    </w:p>
    <w:p w:rsidR="001C7A24" w:rsidRPr="001C7A24" w:rsidRDefault="001C7A24" w:rsidP="001C7A24">
      <w:pPr>
        <w:jc w:val="center"/>
        <w:rPr>
          <w:rFonts w:ascii="Arial" w:hAnsi="Arial" w:cs="Arial"/>
          <w:b/>
          <w:sz w:val="32"/>
          <w:szCs w:val="32"/>
        </w:rPr>
      </w:pPr>
      <w:r w:rsidRPr="001C7A24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Нижнеборковский</w:t>
      </w:r>
      <w:r w:rsidRPr="001C7A2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1C7A24" w:rsidRPr="001C7A24" w:rsidRDefault="001C7A24" w:rsidP="001C7A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Pr="001C7A2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C7A24" w:rsidRPr="001C7A24" w:rsidRDefault="001C7A24" w:rsidP="001C7A24">
      <w:pPr>
        <w:jc w:val="center"/>
        <w:rPr>
          <w:rFonts w:ascii="Arial" w:hAnsi="Arial" w:cs="Arial"/>
          <w:b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В целях реализации Федерального закона от 13 июля 2015 года N 224-ФЗ "О государственно-частном партнерстве,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Федерации" (далее - Федеральный закон) Администрация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ПОСТАНОВЛЯЕТ: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1. Утвердить прилагаемое Положение о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 </w:t>
      </w:r>
      <w:proofErr w:type="gramStart"/>
      <w:r w:rsidRPr="001C7A24">
        <w:rPr>
          <w:rFonts w:ascii="Arial" w:hAnsi="Arial" w:cs="Arial"/>
        </w:rPr>
        <w:t>-ч</w:t>
      </w:r>
      <w:proofErr w:type="gramEnd"/>
      <w:r w:rsidRPr="001C7A24">
        <w:rPr>
          <w:rFonts w:ascii="Arial" w:hAnsi="Arial" w:cs="Arial"/>
        </w:rPr>
        <w:t>астном партнерстве на территории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>2. Настоящее постановление вступает в силу после его официального опубликования в установленном порядке.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</w:p>
    <w:p w:rsidR="001C7A24" w:rsidRDefault="001C7A24" w:rsidP="001C7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                                               </w:t>
      </w:r>
      <w:proofErr w:type="spellStart"/>
      <w:r>
        <w:rPr>
          <w:rFonts w:ascii="Arial" w:hAnsi="Arial" w:cs="Arial"/>
        </w:rPr>
        <w:t>А.Н.Часовских</w:t>
      </w:r>
      <w:proofErr w:type="spellEnd"/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                     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Утверждено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постановлением Администрации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20</w:t>
      </w:r>
      <w:r w:rsidRPr="001C7A24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1C7A24">
        <w:rPr>
          <w:rFonts w:ascii="Arial" w:hAnsi="Arial" w:cs="Arial"/>
        </w:rPr>
        <w:t>.201</w:t>
      </w:r>
      <w:r>
        <w:rPr>
          <w:rFonts w:ascii="Arial" w:hAnsi="Arial" w:cs="Arial"/>
        </w:rPr>
        <w:t>8 №9</w:t>
      </w:r>
      <w:r w:rsidRPr="001C7A24">
        <w:rPr>
          <w:rFonts w:ascii="Arial" w:hAnsi="Arial" w:cs="Arial"/>
        </w:rPr>
        <w:t xml:space="preserve">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  <w:b/>
        </w:rPr>
      </w:pPr>
    </w:p>
    <w:p w:rsidR="001C7A24" w:rsidRPr="001C7A24" w:rsidRDefault="001C7A24" w:rsidP="001C7A24">
      <w:pPr>
        <w:jc w:val="center"/>
        <w:rPr>
          <w:rFonts w:ascii="Arial" w:hAnsi="Arial" w:cs="Arial"/>
          <w:b/>
          <w:sz w:val="28"/>
          <w:szCs w:val="28"/>
        </w:rPr>
      </w:pPr>
      <w:r w:rsidRPr="001C7A24">
        <w:rPr>
          <w:rFonts w:ascii="Arial" w:hAnsi="Arial" w:cs="Arial"/>
          <w:b/>
          <w:sz w:val="28"/>
          <w:szCs w:val="28"/>
        </w:rPr>
        <w:t xml:space="preserve">Положение о </w:t>
      </w:r>
      <w:proofErr w:type="spellStart"/>
      <w:r w:rsidRPr="001C7A24">
        <w:rPr>
          <w:rFonts w:ascii="Arial" w:hAnsi="Arial" w:cs="Arial"/>
          <w:b/>
          <w:sz w:val="28"/>
          <w:szCs w:val="28"/>
        </w:rPr>
        <w:t>муниципально-частном</w:t>
      </w:r>
      <w:proofErr w:type="spellEnd"/>
      <w:r w:rsidRPr="001C7A24">
        <w:rPr>
          <w:rFonts w:ascii="Arial" w:hAnsi="Arial" w:cs="Arial"/>
          <w:b/>
          <w:sz w:val="28"/>
          <w:szCs w:val="28"/>
        </w:rPr>
        <w:t xml:space="preserve"> партнерстве на территории муниципального образования «Нижнеборковский сельсовет» Горшеченского района Курской области</w:t>
      </w:r>
    </w:p>
    <w:p w:rsidR="001C7A24" w:rsidRPr="001C7A24" w:rsidRDefault="001C7A24" w:rsidP="001C7A24">
      <w:pPr>
        <w:jc w:val="both"/>
        <w:rPr>
          <w:rFonts w:ascii="Arial" w:hAnsi="Arial" w:cs="Arial"/>
          <w:sz w:val="28"/>
          <w:szCs w:val="28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1. Целью настоящего Положения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на территории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(далее – Положение) является регламентация участия субъектов инвестиционной деятельности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(далее – 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сельсовет) в проектах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2. Задачами участия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в проектах </w:t>
      </w:r>
      <w:proofErr w:type="spellStart"/>
      <w:r w:rsidRPr="001C7A24">
        <w:rPr>
          <w:rFonts w:ascii="Arial" w:hAnsi="Arial" w:cs="Arial"/>
        </w:rPr>
        <w:t>муниципальн</w:t>
      </w:r>
      <w:proofErr w:type="gramStart"/>
      <w:r w:rsidRPr="001C7A24">
        <w:rPr>
          <w:rFonts w:ascii="Arial" w:hAnsi="Arial" w:cs="Arial"/>
        </w:rPr>
        <w:t>о</w:t>
      </w:r>
      <w:proofErr w:type="spellEnd"/>
      <w:r w:rsidRPr="001C7A24">
        <w:rPr>
          <w:rFonts w:ascii="Arial" w:hAnsi="Arial" w:cs="Arial"/>
        </w:rPr>
        <w:t>-</w:t>
      </w:r>
      <w:proofErr w:type="gramEnd"/>
      <w:r w:rsidRPr="001C7A24">
        <w:rPr>
          <w:rFonts w:ascii="Arial" w:hAnsi="Arial" w:cs="Arial"/>
        </w:rPr>
        <w:t xml:space="preserve"> частного партнерства являются: - привлечение средств внебюджетных источников (частных ресурсов) в создание, реконструкцию, эксплуатацию общественно значимых объектов на территории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сельсовета; - повышение эффективности использования имущества, находящегося в муниципальной собственности; - эффективное использование средств местного бюджета; - сохранение рабочих мест и повышение уровня занятости населения; - техническое и технологическое развитие общественно значимых объектов на территории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сельсовета; -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3. </w:t>
      </w:r>
      <w:proofErr w:type="spellStart"/>
      <w:r w:rsidRPr="001C7A24">
        <w:rPr>
          <w:rFonts w:ascii="Arial" w:hAnsi="Arial" w:cs="Arial"/>
        </w:rPr>
        <w:t>Муниципально-частное</w:t>
      </w:r>
      <w:proofErr w:type="spellEnd"/>
      <w:r w:rsidRPr="001C7A24">
        <w:rPr>
          <w:rFonts w:ascii="Arial" w:hAnsi="Arial" w:cs="Arial"/>
        </w:rPr>
        <w:t xml:space="preserve"> партнерство на территории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(далее – </w:t>
      </w:r>
      <w:proofErr w:type="spellStart"/>
      <w:r w:rsidRPr="001C7A24">
        <w:rPr>
          <w:rFonts w:ascii="Arial" w:hAnsi="Arial" w:cs="Arial"/>
        </w:rPr>
        <w:t>муниципально-частное</w:t>
      </w:r>
      <w:proofErr w:type="spellEnd"/>
      <w:r w:rsidRPr="001C7A24">
        <w:rPr>
          <w:rFonts w:ascii="Arial" w:hAnsi="Arial" w:cs="Arial"/>
        </w:rPr>
        <w:t xml:space="preserve"> партнерство) реализуется в порядке и основывается на принципах, установленных Федеральным законом от 13.07.2015 № 224-ФЗ «О государственно-частном партнерстве,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Федерации» (далее - Федеральный закон от 13.07.2015 № 224-ФЗ).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4. Сторонами соглашения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являются публичный партнер и частный партнер.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>5. На стороне публичного партнера выступает муниципальное образование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в лице Главы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(далее – публичный партнер).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6. На стороне частного партнера выступает российское юридическое лицо, с которым в соответствии с Федеральным законом от 13.07.2015 № 224-ФЗ заключено соглашение о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–частном партнерстве.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lastRenderedPageBreak/>
        <w:tab/>
        <w:t xml:space="preserve">7. 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 вправе участвовать в реализации межмуниципальных проектов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8. Органы местного самоуправления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сельсовета, определенные Главой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в соответствии с Уставом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(далее - уполномоченные органы) осуществляют следующие полномочия: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1) обеспечение координации деятельности органов местного самоуправления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при реализации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3) осуществление мониторинга реализации соглашения о </w:t>
      </w:r>
      <w:proofErr w:type="spellStart"/>
      <w:r w:rsidRPr="001C7A24">
        <w:rPr>
          <w:rFonts w:ascii="Arial" w:hAnsi="Arial" w:cs="Arial"/>
        </w:rPr>
        <w:t>муниципальн</w:t>
      </w:r>
      <w:proofErr w:type="gramStart"/>
      <w:r w:rsidRPr="001C7A24">
        <w:rPr>
          <w:rFonts w:ascii="Arial" w:hAnsi="Arial" w:cs="Arial"/>
        </w:rPr>
        <w:t>о</w:t>
      </w:r>
      <w:proofErr w:type="spellEnd"/>
      <w:r w:rsidRPr="001C7A24">
        <w:rPr>
          <w:rFonts w:ascii="Arial" w:hAnsi="Arial" w:cs="Arial"/>
        </w:rPr>
        <w:t>-</w:t>
      </w:r>
      <w:proofErr w:type="gramEnd"/>
      <w:r w:rsidRPr="001C7A24">
        <w:rPr>
          <w:rFonts w:ascii="Arial" w:hAnsi="Arial" w:cs="Arial"/>
        </w:rPr>
        <w:t xml:space="preserve"> частном партнерстве; 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5) ведение реестра заключенных соглашений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(форма реестра приведена в приложении №1 к настоящему Положению);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6) обеспечение открытости и доступности информации о </w:t>
      </w:r>
      <w:proofErr w:type="gramStart"/>
      <w:r w:rsidRPr="001C7A24">
        <w:rPr>
          <w:rFonts w:ascii="Arial" w:hAnsi="Arial" w:cs="Arial"/>
        </w:rPr>
        <w:t>соглашении</w:t>
      </w:r>
      <w:proofErr w:type="gramEnd"/>
      <w:r w:rsidRPr="001C7A24">
        <w:rPr>
          <w:rFonts w:ascii="Arial" w:hAnsi="Arial" w:cs="Arial"/>
        </w:rPr>
        <w:t xml:space="preserve">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>8) осуществление иных полномочий, предусмотренных Федеральным законом, другими федеральными законами, законами и нормативными правовыми актами Курской области, Уставом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и муниципальными правовыми актами.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9. Содействие в развитии института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партнерства, сопровождение проектов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 осуществляет оператор инвестиционного процесса.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10. Оператором инвестиционного процесса является организация - победитель конкурса на получение субсидии из местного бюджета на реализацию мероприятий по повышению инвестиционной привлекательности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(далее – оператор инвестиционного процесса).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11. Проведение предварительных переговоров с инициатором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партнерства, связанных с разработкой предложения о реализации проекта, и принятие решения о возможности или невозможности реализации проекта принимается публичным партнером на заседании комиссии. Состав и положение о комиссии утверждается постановлением Администрации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(далее - комиссия).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12. Глава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направляет в орган исполнительной власти Курской области, определенный высшим исполнительным 4 органом государственной власти Курской области, проект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 для проведения оценки эффективности проекта и определения его сравнительного преимущества в соответствии Федеральным законом от 13.07.2015 № 224-ФЗ.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13. Решение о реализации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 принимается Главой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при наличии положительного заключения исполнительного органа Курской области.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lastRenderedPageBreak/>
        <w:tab/>
        <w:t xml:space="preserve">14. Принятие решений об определении приоритетных для использования в проектах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 - частного партнерства направлений и отраслей муниципального хозяйства осуществляется путем: - выявления публичным партнером сфер экономики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сельсовета, нуждающихся в инвестировании; - определения публичным партнером потребностей в создании новых и реконструкции пришедших в ненадлежащее состояние объектов муниципальной собственности. Приоритетные для использования в проектах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–частного партнерства направления и отрасли муниципального хозяйства должны соответствовать стратегии развития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15. Мониторинг реализации соглашения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 осуществляется в целях: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а) анализа хода реализации проекта;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б) достижения заявленных показателей в процессе реализации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15.1. Основными задачами мониторинга являются: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а) систематическое наблюдение за ходом реализации проекта </w:t>
      </w:r>
      <w:proofErr w:type="spellStart"/>
      <w:r w:rsidRPr="001C7A24">
        <w:rPr>
          <w:rFonts w:ascii="Arial" w:hAnsi="Arial" w:cs="Arial"/>
        </w:rPr>
        <w:t>муниципальн</w:t>
      </w:r>
      <w:proofErr w:type="gramStart"/>
      <w:r w:rsidRPr="001C7A24">
        <w:rPr>
          <w:rFonts w:ascii="Arial" w:hAnsi="Arial" w:cs="Arial"/>
        </w:rPr>
        <w:t>о</w:t>
      </w:r>
      <w:proofErr w:type="spellEnd"/>
      <w:r w:rsidRPr="001C7A24">
        <w:rPr>
          <w:rFonts w:ascii="Arial" w:hAnsi="Arial" w:cs="Arial"/>
        </w:rPr>
        <w:t>-</w:t>
      </w:r>
      <w:proofErr w:type="gramEnd"/>
      <w:r w:rsidRPr="001C7A24">
        <w:rPr>
          <w:rFonts w:ascii="Arial" w:hAnsi="Arial" w:cs="Arial"/>
        </w:rPr>
        <w:t xml:space="preserve"> частного партнерства;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б) обеспечение соблюдения частным и публичным партнером, участвующими в проекте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партнерства, принятых обязательств по его реализации;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в) своевременное выявление рисков, влияющих на возможность реализации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партнерства, и подготовка предложений о мерах по их устранению;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г) формирование и консолидация данных о ходе реализации </w:t>
      </w:r>
      <w:proofErr w:type="spellStart"/>
      <w:r w:rsidRPr="001C7A24">
        <w:rPr>
          <w:rFonts w:ascii="Arial" w:hAnsi="Arial" w:cs="Arial"/>
        </w:rPr>
        <w:t>муниципальн</w:t>
      </w:r>
      <w:proofErr w:type="gramStart"/>
      <w:r w:rsidRPr="001C7A24">
        <w:rPr>
          <w:rFonts w:ascii="Arial" w:hAnsi="Arial" w:cs="Arial"/>
        </w:rPr>
        <w:t>о</w:t>
      </w:r>
      <w:proofErr w:type="spellEnd"/>
      <w:r w:rsidRPr="001C7A24">
        <w:rPr>
          <w:rFonts w:ascii="Arial" w:hAnsi="Arial" w:cs="Arial"/>
        </w:rPr>
        <w:t>-</w:t>
      </w:r>
      <w:proofErr w:type="gramEnd"/>
      <w:r w:rsidRPr="001C7A24">
        <w:rPr>
          <w:rFonts w:ascii="Arial" w:hAnsi="Arial" w:cs="Arial"/>
        </w:rPr>
        <w:t xml:space="preserve"> частного партнерства;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proofErr w:type="spellStart"/>
      <w:r w:rsidRPr="001C7A24">
        <w:rPr>
          <w:rFonts w:ascii="Arial" w:hAnsi="Arial" w:cs="Arial"/>
        </w:rPr>
        <w:t>д</w:t>
      </w:r>
      <w:proofErr w:type="spellEnd"/>
      <w:r w:rsidRPr="001C7A24">
        <w:rPr>
          <w:rFonts w:ascii="Arial" w:hAnsi="Arial" w:cs="Arial"/>
        </w:rPr>
        <w:t xml:space="preserve">) обеспечение эффективного взаимодействия и координации деятельности участников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е) обеспечение эффективного использования имущества и средств бюджета публичного партнера в процессе реализации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15.2. Мероприятия по мониторингу осуществляются посредством сбора отчетности и информации о ходе реализации соглашения в соответствии с условиями, предусмотренными соглашением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партнерстве.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 15.3. Информационная поддержка и освещение хода реализации проекта осуществляется, в том числе, посредством участия частного партнера в общественных мероприятиях, форумах, конференциях и др., а также путем размещения информации  о ходе реализации проекта на официальном сайте Администрации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16. Порядок реализации проекта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партнерстве, инициатором которого выступает частный партнер, содержится в блок-схеме, представленной в приложении 2 к Положению.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  <w:t xml:space="preserve">17. Порядок реализации проекта о </w:t>
      </w:r>
      <w:proofErr w:type="spellStart"/>
      <w:r w:rsidRPr="001C7A24">
        <w:rPr>
          <w:rFonts w:ascii="Arial" w:hAnsi="Arial" w:cs="Arial"/>
        </w:rPr>
        <w:t>муниципально-частном</w:t>
      </w:r>
      <w:proofErr w:type="spellEnd"/>
      <w:r w:rsidRPr="001C7A24">
        <w:rPr>
          <w:rFonts w:ascii="Arial" w:hAnsi="Arial" w:cs="Arial"/>
        </w:rPr>
        <w:t xml:space="preserve"> партнерстве, инициатором которого выступает публичный партнер, содержится в блок-схеме, представленной в приложении 3 к Положению.</w:t>
      </w:r>
    </w:p>
    <w:p w:rsidR="001C7A24" w:rsidRDefault="001C7A24" w:rsidP="001C7A24">
      <w:pPr>
        <w:jc w:val="right"/>
        <w:rPr>
          <w:rFonts w:ascii="Arial" w:hAnsi="Arial" w:cs="Arial"/>
        </w:rPr>
        <w:sectPr w:rsidR="001C7A24" w:rsidSect="00D14E1B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1C7A24">
        <w:rPr>
          <w:rFonts w:ascii="Arial" w:hAnsi="Arial" w:cs="Arial"/>
        </w:rPr>
        <w:br w:type="page"/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lastRenderedPageBreak/>
        <w:t xml:space="preserve"> Приложение 1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к Положению о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 </w:t>
      </w:r>
      <w:proofErr w:type="gramStart"/>
      <w:r w:rsidRPr="001C7A24">
        <w:rPr>
          <w:rFonts w:ascii="Arial" w:hAnsi="Arial" w:cs="Arial"/>
        </w:rPr>
        <w:t>-ч</w:t>
      </w:r>
      <w:proofErr w:type="gramEnd"/>
      <w:r w:rsidRPr="001C7A24">
        <w:rPr>
          <w:rFonts w:ascii="Arial" w:hAnsi="Arial" w:cs="Arial"/>
        </w:rPr>
        <w:t xml:space="preserve">астном партнерстве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на территории муниципального образования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>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Курской области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  <w:b/>
        </w:rPr>
      </w:pPr>
    </w:p>
    <w:p w:rsidR="001C7A24" w:rsidRPr="001C7A24" w:rsidRDefault="001C7A24" w:rsidP="001C7A24">
      <w:pPr>
        <w:jc w:val="both"/>
        <w:rPr>
          <w:rFonts w:ascii="Arial" w:hAnsi="Arial" w:cs="Arial"/>
          <w:b/>
        </w:rPr>
      </w:pPr>
      <w:r w:rsidRPr="001C7A24">
        <w:rPr>
          <w:rFonts w:ascii="Arial" w:hAnsi="Arial" w:cs="Arial"/>
          <w:b/>
        </w:rPr>
        <w:t xml:space="preserve">Реестр соглашений о </w:t>
      </w:r>
      <w:proofErr w:type="spellStart"/>
      <w:r w:rsidRPr="001C7A24">
        <w:rPr>
          <w:rFonts w:ascii="Arial" w:hAnsi="Arial" w:cs="Arial"/>
          <w:b/>
        </w:rPr>
        <w:t>муниципально-частном</w:t>
      </w:r>
      <w:proofErr w:type="spellEnd"/>
      <w:r w:rsidRPr="001C7A24">
        <w:rPr>
          <w:rFonts w:ascii="Arial" w:hAnsi="Arial" w:cs="Arial"/>
          <w:b/>
        </w:rPr>
        <w:t xml:space="preserve"> партнерстве в муниципальном образовании «</w:t>
      </w:r>
      <w:r>
        <w:rPr>
          <w:rFonts w:ascii="Arial" w:hAnsi="Arial" w:cs="Arial"/>
          <w:b/>
        </w:rPr>
        <w:t>Нижнеборковский</w:t>
      </w:r>
      <w:r w:rsidRPr="001C7A24">
        <w:rPr>
          <w:rFonts w:ascii="Arial" w:hAnsi="Arial" w:cs="Arial"/>
          <w:b/>
        </w:rPr>
        <w:t xml:space="preserve"> сельсовет» </w:t>
      </w:r>
      <w:r>
        <w:rPr>
          <w:rFonts w:ascii="Arial" w:hAnsi="Arial" w:cs="Arial"/>
          <w:b/>
        </w:rPr>
        <w:t>Горшеченского</w:t>
      </w:r>
      <w:r w:rsidRPr="001C7A24">
        <w:rPr>
          <w:rFonts w:ascii="Arial" w:hAnsi="Arial" w:cs="Arial"/>
          <w:b/>
        </w:rPr>
        <w:t xml:space="preserve"> района Курской области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13848" w:type="dxa"/>
        <w:tblInd w:w="739" w:type="dxa"/>
        <w:tblLook w:val="01E0"/>
      </w:tblPr>
      <w:tblGrid>
        <w:gridCol w:w="543"/>
        <w:gridCol w:w="1687"/>
        <w:gridCol w:w="1554"/>
        <w:gridCol w:w="1883"/>
        <w:gridCol w:w="1883"/>
        <w:gridCol w:w="1554"/>
        <w:gridCol w:w="1554"/>
        <w:gridCol w:w="1580"/>
        <w:gridCol w:w="1610"/>
      </w:tblGrid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C7A2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C7A24">
              <w:rPr>
                <w:rFonts w:ascii="Arial" w:hAnsi="Arial" w:cs="Arial"/>
              </w:rPr>
              <w:t>/</w:t>
            </w:r>
            <w:proofErr w:type="spellStart"/>
            <w:r w:rsidRPr="001C7A2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№ </w:t>
            </w:r>
            <w:proofErr w:type="spellStart"/>
            <w:r w:rsidRPr="001C7A24">
              <w:rPr>
                <w:rFonts w:ascii="Arial" w:hAnsi="Arial" w:cs="Arial"/>
              </w:rPr>
              <w:t>соглашенияо</w:t>
            </w:r>
            <w:proofErr w:type="spellEnd"/>
            <w:r w:rsidRPr="001C7A24">
              <w:rPr>
                <w:rFonts w:ascii="Arial" w:hAnsi="Arial" w:cs="Arial"/>
              </w:rPr>
              <w:t xml:space="preserve"> МЧП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Дата соглашения о МЧП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Наименование частного партнера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Наименование публичного партнера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Предмет соглашения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Срок действия соглашения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Объем инвестиций, тыс. </w:t>
            </w:r>
            <w:proofErr w:type="spellStart"/>
            <w:r w:rsidRPr="001C7A24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Примечания</w:t>
            </w: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  <w:tr w:rsidR="001C7A24" w:rsidRPr="001C7A24" w:rsidTr="001C7A2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  <w:sectPr w:rsidR="001C7A24" w:rsidSect="001C7A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lastRenderedPageBreak/>
        <w:t xml:space="preserve">Приложение 2 </w:t>
      </w:r>
    </w:p>
    <w:p w:rsidR="001C7A24" w:rsidRPr="001C7A24" w:rsidRDefault="001C7A24" w:rsidP="001C7A24">
      <w:pPr>
        <w:ind w:left="4820"/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к Положению о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–</w:t>
      </w:r>
      <w:r w:rsidRPr="001C7A24">
        <w:rPr>
          <w:rFonts w:ascii="Arial" w:hAnsi="Arial" w:cs="Arial"/>
        </w:rPr>
        <w:t>ч</w:t>
      </w:r>
      <w:proofErr w:type="gramEnd"/>
      <w:r w:rsidRPr="001C7A24">
        <w:rPr>
          <w:rFonts w:ascii="Arial" w:hAnsi="Arial" w:cs="Arial"/>
        </w:rPr>
        <w:t>астном</w:t>
      </w:r>
      <w:r>
        <w:rPr>
          <w:rFonts w:ascii="Arial" w:hAnsi="Arial" w:cs="Arial"/>
        </w:rPr>
        <w:t xml:space="preserve"> </w:t>
      </w:r>
      <w:r w:rsidRPr="001C7A24">
        <w:rPr>
          <w:rFonts w:ascii="Arial" w:hAnsi="Arial" w:cs="Arial"/>
        </w:rPr>
        <w:t>партнерстве на территории муниципального образования 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Курской области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  <w:b/>
        </w:rPr>
      </w:pPr>
      <w:r w:rsidRPr="001C7A24">
        <w:rPr>
          <w:rFonts w:ascii="Arial" w:hAnsi="Arial" w:cs="Arial"/>
          <w:b/>
        </w:rPr>
        <w:t xml:space="preserve">Реализация проекта </w:t>
      </w:r>
      <w:proofErr w:type="spellStart"/>
      <w:r w:rsidRPr="001C7A24">
        <w:rPr>
          <w:rFonts w:ascii="Arial" w:hAnsi="Arial" w:cs="Arial"/>
          <w:b/>
        </w:rPr>
        <w:t>муниципально-частного</w:t>
      </w:r>
      <w:proofErr w:type="spellEnd"/>
      <w:r w:rsidRPr="001C7A24">
        <w:rPr>
          <w:rFonts w:ascii="Arial" w:hAnsi="Arial" w:cs="Arial"/>
          <w:b/>
        </w:rPr>
        <w:t xml:space="preserve"> партнерства, при которой инициатором проекта является частный партнер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1. Разработка Предложения, проведение предварительных переговоров</w:t>
            </w:r>
            <w:proofErr w:type="gramStart"/>
            <w:r w:rsidRPr="001C7A24">
              <w:rPr>
                <w:rFonts w:ascii="Arial" w:hAnsi="Arial" w:cs="Arial"/>
              </w:rPr>
              <w:t>1</w:t>
            </w:r>
            <w:proofErr w:type="gramEnd"/>
            <w:r w:rsidRPr="001C7A24">
              <w:rPr>
                <w:rFonts w:ascii="Arial" w:hAnsi="Arial" w:cs="Arial"/>
              </w:rPr>
              <w:t xml:space="preserve"> между ПП и ИП (отв. исп. – ИП, ПП; содействие – ОИП)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2. Направление ИП документов ПП через ОИП Перечень документов: Предложение</w:t>
            </w:r>
            <w:proofErr w:type="gramStart"/>
            <w:r w:rsidRPr="001C7A24">
              <w:rPr>
                <w:rFonts w:ascii="Arial" w:hAnsi="Arial" w:cs="Arial"/>
              </w:rPr>
              <w:t>2</w:t>
            </w:r>
            <w:proofErr w:type="gramEnd"/>
            <w:r w:rsidRPr="001C7A24">
              <w:rPr>
                <w:rFonts w:ascii="Arial" w:hAnsi="Arial" w:cs="Arial"/>
              </w:rPr>
              <w:t xml:space="preserve"> , банковская гарантия в размере не менее 5% от объема прогнозируемого финансирования (отв. исп. – ОИП)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3. Рассмотрение предложения3 и принятие решения о возможности/невозможности реализации проекта</w:t>
            </w:r>
            <w:proofErr w:type="gramStart"/>
            <w:r w:rsidRPr="001C7A24">
              <w:rPr>
                <w:rFonts w:ascii="Arial" w:hAnsi="Arial" w:cs="Arial"/>
              </w:rPr>
              <w:t xml:space="preserve"> .</w:t>
            </w:r>
            <w:proofErr w:type="gramEnd"/>
            <w:r w:rsidRPr="001C7A24">
              <w:rPr>
                <w:rFonts w:ascii="Arial" w:hAnsi="Arial" w:cs="Arial"/>
              </w:rPr>
              <w:t xml:space="preserve"> Срок - не более 90 дней со дня поступления предложения от ИП (отв. исп. –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348"/>
      </w:tblGrid>
      <w:tr w:rsidR="001C7A24" w:rsidRPr="001C7A24" w:rsidTr="001C7A24">
        <w:trPr>
          <w:trHeight w:val="12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3.1. Принято решение</w:t>
            </w:r>
            <w:proofErr w:type="gramStart"/>
            <w:r w:rsidRPr="001C7A24">
              <w:rPr>
                <w:rFonts w:ascii="Arial" w:hAnsi="Arial" w:cs="Arial"/>
              </w:rPr>
              <w:t>4</w:t>
            </w:r>
            <w:proofErr w:type="gramEnd"/>
            <w:r w:rsidRPr="001C7A24">
              <w:rPr>
                <w:rFonts w:ascii="Arial" w:hAnsi="Arial" w:cs="Arial"/>
              </w:rPr>
              <w:t xml:space="preserve"> о невозможности реализации проекта</w:t>
            </w:r>
          </w:p>
        </w:tc>
      </w:tr>
    </w:tbl>
    <w:tbl>
      <w:tblPr>
        <w:tblStyle w:val="a3"/>
        <w:tblpPr w:leftFromText="180" w:rightFromText="180" w:vertAnchor="text" w:horzAnchor="page" w:tblpX="5482" w:tblpY="62"/>
        <w:tblOverlap w:val="never"/>
        <w:tblW w:w="0" w:type="auto"/>
        <w:tblLook w:val="01E0"/>
      </w:tblPr>
      <w:tblGrid>
        <w:gridCol w:w="5688"/>
      </w:tblGrid>
      <w:tr w:rsidR="001C7A24" w:rsidRPr="001C7A24" w:rsidTr="001C7A24">
        <w:trPr>
          <w:trHeight w:val="96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3.2. Принято решение </w:t>
            </w:r>
            <w:proofErr w:type="gramStart"/>
            <w:r w:rsidRPr="001C7A24">
              <w:rPr>
                <w:rFonts w:ascii="Arial" w:hAnsi="Arial" w:cs="Arial"/>
              </w:rPr>
              <w:t>о направлении в ИО предложения о реализации проекта на рассмотрение в целях</w:t>
            </w:r>
            <w:proofErr w:type="gramEnd"/>
            <w:r w:rsidRPr="001C7A24">
              <w:rPr>
                <w:rFonts w:ascii="Arial" w:hAnsi="Arial" w:cs="Arial"/>
              </w:rPr>
              <w:t xml:space="preserve"> оценки эффективности  и определения его сравнительного </w:t>
            </w:r>
            <w:proofErr w:type="spellStart"/>
            <w:r w:rsidRPr="001C7A24">
              <w:rPr>
                <w:rFonts w:ascii="Arial" w:hAnsi="Arial" w:cs="Arial"/>
              </w:rPr>
              <w:t>приимущества</w:t>
            </w:r>
            <w:proofErr w:type="spellEnd"/>
          </w:p>
        </w:tc>
      </w:tr>
    </w:tbl>
    <w:p w:rsidR="001C7A24" w:rsidRPr="001C7A24" w:rsidRDefault="001C7A24" w:rsidP="001C7A24">
      <w:pPr>
        <w:tabs>
          <w:tab w:val="left" w:pos="1095"/>
        </w:tabs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888"/>
      </w:tblGrid>
      <w:tr w:rsidR="001C7A24" w:rsidRPr="001C7A24" w:rsidTr="001C7A24">
        <w:trPr>
          <w:trHeight w:val="8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3.1.1. Направление ИП решения и оригиналов протоколов предварительных переговоров (в случае если эти переговоры были проведены). Срок - не более 10 дней со дня принятия решения (отв. исп.- ПП)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48"/>
        <w:tblOverlap w:val="never"/>
        <w:tblW w:w="0" w:type="auto"/>
        <w:tblLook w:val="01E0"/>
      </w:tblPr>
      <w:tblGrid>
        <w:gridCol w:w="5112"/>
      </w:tblGrid>
      <w:tr w:rsidR="001C7A24" w:rsidRPr="001C7A24" w:rsidTr="001C7A24">
        <w:trPr>
          <w:trHeight w:val="81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3.2.1. Направление в ИО предложения о реализации проекта, копий протоколов предварительных переговоров (в случае если эти переговоры были проведены) на рассмотрение в целях оценки эффективности и определения его сравнительного преимущества. </w:t>
            </w:r>
            <w:proofErr w:type="gramStart"/>
            <w:r w:rsidRPr="001C7A24">
              <w:rPr>
                <w:rFonts w:ascii="Arial" w:hAnsi="Arial" w:cs="Arial"/>
              </w:rPr>
              <w:t>Срок - не более 10 дней со дня принятия решения (отв. исп. – ПП</w:t>
            </w:r>
            <w:proofErr w:type="gramEnd"/>
          </w:p>
        </w:tc>
      </w:tr>
    </w:tbl>
    <w:p w:rsidR="001C7A24" w:rsidRPr="001C7A24" w:rsidRDefault="001C7A24" w:rsidP="001C7A24">
      <w:pPr>
        <w:tabs>
          <w:tab w:val="left" w:pos="2220"/>
        </w:tabs>
        <w:ind w:firstLine="708"/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tabs>
          <w:tab w:val="left" w:pos="2220"/>
        </w:tabs>
        <w:ind w:firstLine="708"/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page" w:tblpX="1630" w:tblpY="151"/>
        <w:tblOverlap w:val="never"/>
        <w:tblW w:w="0" w:type="auto"/>
        <w:tblLook w:val="01E0"/>
      </w:tblPr>
      <w:tblGrid>
        <w:gridCol w:w="4212"/>
      </w:tblGrid>
      <w:tr w:rsidR="001C7A24" w:rsidRPr="001C7A24" w:rsidTr="001C7A24">
        <w:trPr>
          <w:trHeight w:val="813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3.1.2. Размещение на Официальном сайте Администрации Ивановского сельсовета </w:t>
            </w:r>
            <w:r>
              <w:rPr>
                <w:rFonts w:ascii="Arial" w:hAnsi="Arial" w:cs="Arial"/>
              </w:rPr>
              <w:t>Горшеченского</w:t>
            </w:r>
            <w:r w:rsidRPr="001C7A24">
              <w:rPr>
                <w:rFonts w:ascii="Arial" w:hAnsi="Arial" w:cs="Arial"/>
              </w:rPr>
              <w:t xml:space="preserve"> района </w:t>
            </w:r>
            <w:proofErr w:type="spellStart"/>
            <w:r w:rsidRPr="001C7A24">
              <w:rPr>
                <w:rFonts w:ascii="Arial" w:hAnsi="Arial" w:cs="Arial"/>
              </w:rPr>
              <w:t>www.admivanovsky.ru</w:t>
            </w:r>
            <w:proofErr w:type="spellEnd"/>
            <w:r w:rsidRPr="001C7A24">
              <w:rPr>
                <w:rFonts w:ascii="Arial" w:hAnsi="Arial" w:cs="Arial"/>
              </w:rPr>
              <w:t xml:space="preserve"> решения, предложения и протоколов предварительных переговоров (в случае если эти переговоры были проведены). Срок - не более 10 дней со дня принятия решения (отв. исп.- ПП)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7"/>
        <w:tblOverlap w:val="never"/>
        <w:tblW w:w="0" w:type="auto"/>
        <w:tblLook w:val="01E0"/>
      </w:tblPr>
      <w:tblGrid>
        <w:gridCol w:w="4788"/>
      </w:tblGrid>
      <w:tr w:rsidR="001C7A24" w:rsidRPr="001C7A24" w:rsidTr="001C7A24">
        <w:trPr>
          <w:trHeight w:val="81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3.2.2. Размещение на Официальном сайте Администрации Ивановского сельсовета </w:t>
            </w:r>
            <w:r>
              <w:rPr>
                <w:rFonts w:ascii="Arial" w:hAnsi="Arial" w:cs="Arial"/>
              </w:rPr>
              <w:t>Горшеченского</w:t>
            </w:r>
            <w:r w:rsidRPr="001C7A24">
              <w:rPr>
                <w:rFonts w:ascii="Arial" w:hAnsi="Arial" w:cs="Arial"/>
              </w:rPr>
              <w:t xml:space="preserve"> района </w:t>
            </w:r>
            <w:proofErr w:type="spellStart"/>
            <w:r w:rsidRPr="001C7A24">
              <w:rPr>
                <w:rFonts w:ascii="Arial" w:hAnsi="Arial" w:cs="Arial"/>
              </w:rPr>
              <w:t>www.admivanovsky.ru</w:t>
            </w:r>
            <w:proofErr w:type="spellEnd"/>
            <w:r w:rsidRPr="001C7A24">
              <w:rPr>
                <w:rFonts w:ascii="Arial" w:hAnsi="Arial" w:cs="Arial"/>
              </w:rPr>
              <w:t xml:space="preserve"> решения, предложения и протоколов предварительных переговоров (в случае если эти переговоры были проведены) и направление ИП решения и оригиналов протоколов предварительных переговоров (в случае если эти переговоры были проведены). </w:t>
            </w:r>
            <w:proofErr w:type="gramStart"/>
            <w:r w:rsidRPr="001C7A24">
              <w:rPr>
                <w:rFonts w:ascii="Arial" w:hAnsi="Arial" w:cs="Arial"/>
              </w:rPr>
              <w:t>Срок - не более 10 дней со дня принятия решения (отв. исп.- ПП</w:t>
            </w:r>
            <w:proofErr w:type="gramEnd"/>
          </w:p>
        </w:tc>
      </w:tr>
    </w:tbl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page" w:tblpX="1168" w:tblpY="167"/>
        <w:tblOverlap w:val="never"/>
        <w:tblW w:w="0" w:type="auto"/>
        <w:tblLook w:val="01E0"/>
      </w:tblPr>
      <w:tblGrid>
        <w:gridCol w:w="4212"/>
      </w:tblGrid>
      <w:tr w:rsidR="001C7A24" w:rsidRPr="001C7A24" w:rsidTr="001C7A24">
        <w:trPr>
          <w:trHeight w:val="232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4.1.Утверждение заключения о неэффективности проекта и об отсутствии его сравнительного преимущества и направление в адрес ПП и ИП заключения, оригинала протокола переговоров (в случае если эти переговоры были проведены) (отв. исп. – ИО)</w:t>
            </w:r>
          </w:p>
        </w:tc>
      </w:tr>
    </w:tbl>
    <w:p w:rsid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XSpec="right" w:tblpY="-79"/>
        <w:tblOverlap w:val="never"/>
        <w:tblW w:w="0" w:type="auto"/>
        <w:tblLook w:val="01E0"/>
      </w:tblPr>
      <w:tblGrid>
        <w:gridCol w:w="5400"/>
      </w:tblGrid>
      <w:tr w:rsidR="001C7A24" w:rsidRPr="001C7A24" w:rsidTr="001C7A24">
        <w:trPr>
          <w:trHeight w:val="8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4.2. Утверждение заключения об эффективности проекта и его сравнительном преимуществе направление в адрес ПП и ИП заключения, оригинала протокола переговоров (в случае если эти переговоры были проведены) (отв. исп. – ИО)</w:t>
            </w:r>
          </w:p>
        </w:tc>
      </w:tr>
    </w:tbl>
    <w:p w:rsidR="001C7A24" w:rsidRPr="001C7A24" w:rsidRDefault="001C7A24" w:rsidP="001C7A24">
      <w:pPr>
        <w:tabs>
          <w:tab w:val="left" w:pos="1860"/>
        </w:tabs>
        <w:ind w:firstLine="708"/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page" w:tblpX="2338" w:tblpY="961"/>
        <w:tblW w:w="0" w:type="auto"/>
        <w:tblLook w:val="01E0"/>
      </w:tblPr>
      <w:tblGrid>
        <w:gridCol w:w="5930"/>
      </w:tblGrid>
      <w:tr w:rsidR="001C7A24" w:rsidRPr="001C7A24" w:rsidTr="001C7A24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4. Рассмотрение ИО предложения5 с проведением совместных переговоров ИО, ИП, ПП (при 2 необходимости)6 . Срок - не более 180 дней со дня поступления в ИО документов, указанных в блоке 3.2.1 (отв. исп. – ИО, при содействии ПП, ИП, ОИП)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tabs>
          <w:tab w:val="left" w:pos="2085"/>
        </w:tabs>
        <w:ind w:firstLine="708"/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tbl>
      <w:tblPr>
        <w:tblStyle w:val="a3"/>
        <w:tblpPr w:leftFromText="180" w:rightFromText="180" w:vertAnchor="text" w:horzAnchor="page" w:tblpX="1048" w:tblpY="-65"/>
        <w:tblOverlap w:val="never"/>
        <w:tblW w:w="0" w:type="auto"/>
        <w:tblLook w:val="01E0"/>
      </w:tblPr>
      <w:tblGrid>
        <w:gridCol w:w="4428"/>
      </w:tblGrid>
      <w:tr w:rsidR="001C7A24" w:rsidRPr="001C7A24" w:rsidTr="001C7A24">
        <w:trPr>
          <w:trHeight w:val="19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4.1.1. Размещение на сайте ИО решения, предложения и протокола переговоров. Срок - в течение 5 дней со дня утверждения соответствующего заключения (отв. исп. – ИО)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5"/>
        <w:tblOverlap w:val="never"/>
        <w:tblW w:w="0" w:type="auto"/>
        <w:tblLook w:val="01E0"/>
      </w:tblPr>
      <w:tblGrid>
        <w:gridCol w:w="4968"/>
      </w:tblGrid>
      <w:tr w:rsidR="001C7A24" w:rsidRPr="001C7A24" w:rsidTr="001C7A24">
        <w:trPr>
          <w:trHeight w:val="178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4.2.1. Размещение на сайте ИО решения, предложения и протокола переговоров. </w:t>
            </w:r>
            <w:proofErr w:type="gramStart"/>
            <w:r w:rsidRPr="001C7A24">
              <w:rPr>
                <w:rFonts w:ascii="Arial" w:hAnsi="Arial" w:cs="Arial"/>
              </w:rPr>
              <w:t>Срок - в течение 5 дней со дня утверждения соответствующего заключения (отв. исп. – ИО</w:t>
            </w:r>
            <w:proofErr w:type="gramEnd"/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tabs>
          <w:tab w:val="left" w:pos="1005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page" w:tblpX="3328" w:tblpY="7981"/>
        <w:tblW w:w="0" w:type="auto"/>
        <w:tblLook w:val="01E0"/>
      </w:tblPr>
      <w:tblGrid>
        <w:gridCol w:w="6273"/>
      </w:tblGrid>
      <w:tr w:rsidR="001C7A24" w:rsidRPr="001C7A24" w:rsidTr="001C7A24">
        <w:trPr>
          <w:trHeight w:val="2241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 5. Принятие решение о реализации проекта </w:t>
            </w:r>
            <w:proofErr w:type="spellStart"/>
            <w:r w:rsidRPr="001C7A24">
              <w:rPr>
                <w:rFonts w:ascii="Arial" w:hAnsi="Arial" w:cs="Arial"/>
              </w:rPr>
              <w:t>муниципально-частного</w:t>
            </w:r>
            <w:proofErr w:type="spellEnd"/>
            <w:r w:rsidRPr="001C7A24">
              <w:rPr>
                <w:rFonts w:ascii="Arial" w:hAnsi="Arial" w:cs="Arial"/>
              </w:rPr>
              <w:t xml:space="preserve"> партнерства на основании положительного заключения ИО. Срок – не более 60 дней со дня получения положительного заключения ИО (отв. исп. – ПП)</w:t>
            </w:r>
          </w:p>
        </w:tc>
      </w:tr>
    </w:tbl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XSpec="center" w:tblpY="97"/>
        <w:tblW w:w="10183" w:type="dxa"/>
        <w:tblLook w:val="01E0"/>
      </w:tblPr>
      <w:tblGrid>
        <w:gridCol w:w="10183"/>
      </w:tblGrid>
      <w:tr w:rsidR="001C7A24" w:rsidRPr="001C7A24" w:rsidTr="001C7A24"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5.1. </w:t>
            </w:r>
            <w:proofErr w:type="gramStart"/>
            <w:r w:rsidRPr="001C7A24">
              <w:rPr>
                <w:rFonts w:ascii="Arial" w:hAnsi="Arial" w:cs="Arial"/>
              </w:rPr>
              <w:t xml:space="preserve">Размещение на Официальном сайте, определенном Правительством РФ для размещения информации о проведении торгов, </w:t>
            </w:r>
            <w:proofErr w:type="spellStart"/>
            <w:r w:rsidRPr="001C7A24">
              <w:rPr>
                <w:rFonts w:ascii="Arial" w:hAnsi="Arial" w:cs="Arial"/>
              </w:rPr>
              <w:t>torgi.gov.ru</w:t>
            </w:r>
            <w:proofErr w:type="spellEnd"/>
            <w:r w:rsidRPr="001C7A24">
              <w:rPr>
                <w:rFonts w:ascii="Arial" w:hAnsi="Arial" w:cs="Arial"/>
              </w:rPr>
              <w:t xml:space="preserve"> и официальном сайте Администрации </w:t>
            </w:r>
            <w:r>
              <w:rPr>
                <w:rFonts w:ascii="Arial" w:hAnsi="Arial" w:cs="Arial"/>
              </w:rPr>
              <w:t>Нижнеборковского</w:t>
            </w:r>
            <w:r w:rsidRPr="001C7A24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Горшеченского</w:t>
            </w:r>
            <w:r w:rsidRPr="001C7A24">
              <w:rPr>
                <w:rFonts w:ascii="Arial" w:hAnsi="Arial" w:cs="Arial"/>
              </w:rPr>
              <w:t xml:space="preserve"> района </w:t>
            </w:r>
            <w:proofErr w:type="spellStart"/>
            <w:r w:rsidRPr="001C7A24">
              <w:rPr>
                <w:rFonts w:ascii="Arial" w:hAnsi="Arial" w:cs="Arial"/>
              </w:rPr>
              <w:t>www</w:t>
            </w:r>
            <w:proofErr w:type="spellEnd"/>
            <w:r w:rsidRPr="001C7A24">
              <w:rPr>
                <w:rFonts w:ascii="Arial" w:hAnsi="Arial" w:cs="Arial"/>
              </w:rPr>
              <w:t xml:space="preserve">. </w:t>
            </w:r>
            <w:proofErr w:type="spellStart"/>
            <w:r w:rsidRPr="001C7A24">
              <w:rPr>
                <w:rFonts w:ascii="Arial" w:hAnsi="Arial" w:cs="Arial"/>
                <w:lang w:val="en-US"/>
              </w:rPr>
              <w:t>malogneushewo</w:t>
            </w:r>
            <w:proofErr w:type="spellEnd"/>
            <w:r w:rsidRPr="001C7A24">
              <w:rPr>
                <w:rFonts w:ascii="Arial" w:hAnsi="Arial" w:cs="Arial"/>
              </w:rPr>
              <w:t>.</w:t>
            </w:r>
            <w:proofErr w:type="spellStart"/>
            <w:r w:rsidRPr="001C7A24">
              <w:rPr>
                <w:rFonts w:ascii="Arial" w:hAnsi="Arial" w:cs="Arial"/>
              </w:rPr>
              <w:t>ru</w:t>
            </w:r>
            <w:proofErr w:type="spellEnd"/>
            <w:r w:rsidRPr="001C7A24">
              <w:rPr>
                <w:rFonts w:ascii="Arial" w:hAnsi="Arial" w:cs="Arial"/>
              </w:rPr>
              <w:t xml:space="preserve"> решения о реализации проекта в целях принятия заявлений о намерениях участвовать в конкурсе от других лиц с приложением банковской гарантии в размере не менее 5% от объема прогнозируемого финансирования (отв. исп. - ПП).</w:t>
            </w:r>
            <w:proofErr w:type="gramEnd"/>
            <w:r w:rsidRPr="001C7A24">
              <w:rPr>
                <w:rFonts w:ascii="Arial" w:hAnsi="Arial" w:cs="Arial"/>
              </w:rPr>
              <w:t xml:space="preserve"> Срок на размещение решения о реализации проекта – 10 дней со дня принятия решения. Срок приема заявлений</w:t>
            </w:r>
            <w:proofErr w:type="gramStart"/>
            <w:r w:rsidRPr="001C7A24">
              <w:rPr>
                <w:rFonts w:ascii="Arial" w:hAnsi="Arial" w:cs="Arial"/>
              </w:rPr>
              <w:t>7</w:t>
            </w:r>
            <w:proofErr w:type="gramEnd"/>
            <w:r w:rsidRPr="001C7A24">
              <w:rPr>
                <w:rFonts w:ascii="Arial" w:hAnsi="Arial" w:cs="Arial"/>
              </w:rPr>
              <w:t xml:space="preserve"> - 45 дней со дня размещения информации о принятии заявлений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page" w:tblpX="1018" w:tblpY="151"/>
        <w:tblOverlap w:val="never"/>
        <w:tblW w:w="0" w:type="auto"/>
        <w:tblLook w:val="01E0"/>
      </w:tblPr>
      <w:tblGrid>
        <w:gridCol w:w="4824"/>
      </w:tblGrid>
      <w:tr w:rsidR="001C7A24" w:rsidRPr="001C7A24" w:rsidTr="001C7A24">
        <w:trPr>
          <w:trHeight w:val="71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lastRenderedPageBreak/>
              <w:t>5.2. Заявлений о намерении участвовать в конкурсе не поступило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3"/>
        <w:tblOverlap w:val="never"/>
        <w:tblW w:w="0" w:type="auto"/>
        <w:tblLook w:val="01E0"/>
      </w:tblPr>
      <w:tblGrid>
        <w:gridCol w:w="4212"/>
      </w:tblGrid>
      <w:tr w:rsidR="001C7A24" w:rsidRPr="001C7A24" w:rsidTr="001C7A24">
        <w:trPr>
          <w:trHeight w:val="713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5.3. Заявления о намерении участвовать в конкурсе </w:t>
            </w:r>
            <w:proofErr w:type="gramStart"/>
            <w:r w:rsidRPr="001C7A24">
              <w:rPr>
                <w:rFonts w:ascii="Arial" w:hAnsi="Arial" w:cs="Arial"/>
              </w:rPr>
              <w:t>поступило</w:t>
            </w:r>
            <w:proofErr w:type="gramEnd"/>
            <w:r w:rsidRPr="001C7A24">
              <w:rPr>
                <w:rFonts w:ascii="Arial" w:hAnsi="Arial" w:cs="Arial"/>
              </w:rPr>
              <w:t xml:space="preserve"> и заявители соответствуют требованиям 224-ФЗ</w:t>
            </w:r>
          </w:p>
        </w:tc>
      </w:tr>
    </w:tbl>
    <w:p w:rsidR="001C7A24" w:rsidRPr="001C7A24" w:rsidRDefault="001C7A24" w:rsidP="001C7A24">
      <w:pPr>
        <w:tabs>
          <w:tab w:val="left" w:pos="1830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tabs>
          <w:tab w:val="left" w:pos="1830"/>
        </w:tabs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X="-612" w:tblpY="-11"/>
        <w:tblOverlap w:val="never"/>
        <w:tblW w:w="0" w:type="auto"/>
        <w:tblLook w:val="01E0"/>
      </w:tblPr>
      <w:tblGrid>
        <w:gridCol w:w="4824"/>
      </w:tblGrid>
      <w:tr w:rsidR="001C7A24" w:rsidRPr="001C7A24" w:rsidTr="001C7A24">
        <w:trPr>
          <w:trHeight w:val="71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5.2.1. </w:t>
            </w:r>
            <w:proofErr w:type="gramStart"/>
            <w:r w:rsidRPr="001C7A24">
              <w:rPr>
                <w:rFonts w:ascii="Arial" w:hAnsi="Arial" w:cs="Arial"/>
              </w:rPr>
              <w:t xml:space="preserve">Принятие решения о заключении с ИП соглашения о </w:t>
            </w:r>
            <w:proofErr w:type="spellStart"/>
            <w:r w:rsidRPr="001C7A24">
              <w:rPr>
                <w:rFonts w:ascii="Arial" w:hAnsi="Arial" w:cs="Arial"/>
              </w:rPr>
              <w:t>муниципально-частном</w:t>
            </w:r>
            <w:proofErr w:type="spellEnd"/>
            <w:r w:rsidRPr="001C7A24">
              <w:rPr>
                <w:rFonts w:ascii="Arial" w:hAnsi="Arial" w:cs="Arial"/>
              </w:rPr>
              <w:t xml:space="preserve"> партнерстве без проведения процедуры конкурса и установление срока подписания соглашения (отв. исп. – ПП</w:t>
            </w:r>
            <w:proofErr w:type="gramEnd"/>
          </w:p>
        </w:tc>
      </w:tr>
    </w:tbl>
    <w:p w:rsidR="001C7A24" w:rsidRPr="001C7A24" w:rsidRDefault="001C7A24" w:rsidP="001C7A24">
      <w:pPr>
        <w:tabs>
          <w:tab w:val="left" w:pos="1080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tbl>
      <w:tblPr>
        <w:tblStyle w:val="a3"/>
        <w:tblpPr w:leftFromText="180" w:rightFromText="180" w:vertAnchor="text" w:horzAnchor="margin" w:tblpXSpec="right" w:tblpY="13"/>
        <w:tblOverlap w:val="never"/>
        <w:tblW w:w="0" w:type="auto"/>
        <w:tblLook w:val="01E0"/>
      </w:tblPr>
      <w:tblGrid>
        <w:gridCol w:w="4212"/>
      </w:tblGrid>
      <w:tr w:rsidR="001C7A24" w:rsidRPr="001C7A24" w:rsidTr="001C7A24">
        <w:trPr>
          <w:trHeight w:val="713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5.3.1. Принятие решения об организации и проведении конкурса (отв. исп. - ПП)</w:t>
            </w:r>
          </w:p>
        </w:tc>
      </w:tr>
    </w:tbl>
    <w:p w:rsidR="001C7A24" w:rsidRPr="001C7A24" w:rsidRDefault="001C7A24" w:rsidP="001C7A24">
      <w:pPr>
        <w:tabs>
          <w:tab w:val="left" w:pos="1080"/>
        </w:tabs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XSpec="right" w:tblpY="50"/>
        <w:tblOverlap w:val="never"/>
        <w:tblW w:w="0" w:type="auto"/>
        <w:tblLook w:val="01E0"/>
      </w:tblPr>
      <w:tblGrid>
        <w:gridCol w:w="4212"/>
      </w:tblGrid>
      <w:tr w:rsidR="001C7A24" w:rsidRPr="001C7A24" w:rsidTr="001C7A24">
        <w:trPr>
          <w:trHeight w:val="713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5.3.2. Организация и проведение конкурса Срок – 180 дней со дня принятия решения (отв. исп. -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tabs>
          <w:tab w:val="left" w:pos="5490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tabs>
          <w:tab w:val="left" w:pos="5490"/>
        </w:tabs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6. Заключение соглашения о </w:t>
            </w:r>
            <w:proofErr w:type="spellStart"/>
            <w:r w:rsidRPr="001C7A24">
              <w:rPr>
                <w:rFonts w:ascii="Arial" w:hAnsi="Arial" w:cs="Arial"/>
              </w:rPr>
              <w:t>муниципально-частном</w:t>
            </w:r>
            <w:proofErr w:type="spellEnd"/>
            <w:r w:rsidRPr="001C7A24">
              <w:rPr>
                <w:rFonts w:ascii="Arial" w:hAnsi="Arial" w:cs="Arial"/>
              </w:rPr>
              <w:t xml:space="preserve"> партнерстве. 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proofErr w:type="spellStart"/>
            <w:r w:rsidRPr="001C7A24">
              <w:rPr>
                <w:rFonts w:ascii="Arial" w:hAnsi="Arial" w:cs="Arial"/>
              </w:rPr>
              <w:t>torgi.gov.ru</w:t>
            </w:r>
            <w:proofErr w:type="spellEnd"/>
            <w:r w:rsidRPr="001C7A24">
              <w:rPr>
                <w:rFonts w:ascii="Arial" w:hAnsi="Arial" w:cs="Arial"/>
              </w:rPr>
              <w:t xml:space="preserve">. Соглашение о МЧП подлежит регистрации в реестре соглашений (отв. исп.- ПП) </w:t>
            </w:r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Используемые сокращения: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Предложение - предложение о реализации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партнерства; отв. исп. - ответственный исполнитель этапа;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ИП - инициатор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>ОИП - оператор инвестиционного процесса;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ПП - публичный партнер, в лице Главы </w:t>
      </w:r>
      <w:r>
        <w:rPr>
          <w:rFonts w:ascii="Arial" w:hAnsi="Arial" w:cs="Arial"/>
        </w:rPr>
        <w:t>Нижнеборковского</w:t>
      </w:r>
      <w:r w:rsidRPr="001C7A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района, в случаях, установленных настоящим Положением при участии комиссии;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ИО - исполнительный орган власти субъекта Российской Федерации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1 - проведение переговоров по необходимости;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2 - содержание предложения устанавливаются Федеральным законом от 13.07.2015 № 224-ФЗ. Форма предложения, а также требования к сведениям, предусмотренным Федеральным законом от 13.07.2015 № 224-ФЗ устанавливается Правительством РФ;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3 – ПП вправе запросить у ИП дополнительные материалы и документы, проводить переговоры (совместные совещания с ИП), изменить содержание предложения о реализации проекта. Итоги переговоров оформляются протоколом, подписанным Главой Ивановского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 и ИП в 2 экз.;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4 – оформляется протоколом комиссии, который утверждается Главой Ивановского сельсовета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5 – порядок проведения оценки эффективности проекта </w:t>
      </w:r>
      <w:proofErr w:type="spellStart"/>
      <w:r w:rsidRPr="001C7A24">
        <w:rPr>
          <w:rFonts w:ascii="Arial" w:hAnsi="Arial" w:cs="Arial"/>
        </w:rPr>
        <w:t>муниципально-частного</w:t>
      </w:r>
      <w:proofErr w:type="spellEnd"/>
      <w:r w:rsidRPr="001C7A24">
        <w:rPr>
          <w:rFonts w:ascii="Arial" w:hAnsi="Arial" w:cs="Arial"/>
        </w:rPr>
        <w:t xml:space="preserve"> партнерства устанавливается Правительством РФ. Критерии оценки эффективности установлены Федеральным законом от 13.07.2015 № 224-ФЗ. Методика оценки эффективности утверждается федеральным органом исполнительной власти, уполномоченным на осуществление государственной политики в области инвестиционной деятельности;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6 - ИО вправе запрашивать у ПП, ИП дополнительные материалы и документы, при необходимости; 7 - форма заявления о намерении участвовать в конкурсе и порядок его направления ПП утверждаются Правительством РФ. </w:t>
      </w:r>
      <w:r w:rsidRPr="001C7A24">
        <w:rPr>
          <w:rFonts w:ascii="Arial" w:hAnsi="Arial" w:cs="Arial"/>
        </w:rPr>
        <w:br w:type="page"/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lastRenderedPageBreak/>
        <w:t>Приложение 3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к Положению о </w:t>
      </w:r>
      <w:proofErr w:type="spellStart"/>
      <w:r w:rsidRPr="001C7A24">
        <w:rPr>
          <w:rFonts w:ascii="Arial" w:hAnsi="Arial" w:cs="Arial"/>
        </w:rPr>
        <w:t>муниципально</w:t>
      </w:r>
      <w:proofErr w:type="spellEnd"/>
      <w:r w:rsidRPr="001C7A24">
        <w:rPr>
          <w:rFonts w:ascii="Arial" w:hAnsi="Arial" w:cs="Arial"/>
        </w:rPr>
        <w:t xml:space="preserve"> </w:t>
      </w:r>
      <w:proofErr w:type="gramStart"/>
      <w:r w:rsidRPr="001C7A24">
        <w:rPr>
          <w:rFonts w:ascii="Arial" w:hAnsi="Arial" w:cs="Arial"/>
        </w:rPr>
        <w:t>-ч</w:t>
      </w:r>
      <w:proofErr w:type="gramEnd"/>
      <w:r w:rsidRPr="001C7A24">
        <w:rPr>
          <w:rFonts w:ascii="Arial" w:hAnsi="Arial" w:cs="Arial"/>
        </w:rPr>
        <w:t xml:space="preserve">астном партнерстве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на территории муниципального образования 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>«</w:t>
      </w:r>
      <w:r>
        <w:rPr>
          <w:rFonts w:ascii="Arial" w:hAnsi="Arial" w:cs="Arial"/>
        </w:rPr>
        <w:t>Нижнеборковский</w:t>
      </w:r>
      <w:r w:rsidRPr="001C7A24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1C7A24">
        <w:rPr>
          <w:rFonts w:ascii="Arial" w:hAnsi="Arial" w:cs="Arial"/>
        </w:rPr>
        <w:t xml:space="preserve"> района</w:t>
      </w:r>
    </w:p>
    <w:p w:rsidR="001C7A24" w:rsidRPr="001C7A24" w:rsidRDefault="001C7A24" w:rsidP="001C7A24">
      <w:pPr>
        <w:jc w:val="right"/>
        <w:rPr>
          <w:rFonts w:ascii="Arial" w:hAnsi="Arial" w:cs="Arial"/>
        </w:rPr>
      </w:pPr>
      <w:r w:rsidRPr="001C7A24">
        <w:rPr>
          <w:rFonts w:ascii="Arial" w:hAnsi="Arial" w:cs="Arial"/>
        </w:rPr>
        <w:t xml:space="preserve"> Курской области 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  <w:b/>
        </w:rPr>
      </w:pPr>
      <w:r w:rsidRPr="001C7A24">
        <w:rPr>
          <w:rFonts w:ascii="Arial" w:hAnsi="Arial" w:cs="Arial"/>
          <w:b/>
        </w:rPr>
        <w:t xml:space="preserve">Реализация проекта </w:t>
      </w:r>
      <w:proofErr w:type="spellStart"/>
      <w:r w:rsidRPr="001C7A24">
        <w:rPr>
          <w:rFonts w:ascii="Arial" w:hAnsi="Arial" w:cs="Arial"/>
          <w:b/>
        </w:rPr>
        <w:t>муниципально-частного</w:t>
      </w:r>
      <w:proofErr w:type="spellEnd"/>
      <w:r w:rsidRPr="001C7A24">
        <w:rPr>
          <w:rFonts w:ascii="Arial" w:hAnsi="Arial" w:cs="Arial"/>
          <w:b/>
        </w:rPr>
        <w:t xml:space="preserve"> партнерства, при которой инициатором является публичный партнер</w:t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1. Разработка предложения</w:t>
            </w:r>
            <w:proofErr w:type="gramStart"/>
            <w:r w:rsidRPr="001C7A24">
              <w:rPr>
                <w:rFonts w:ascii="Arial" w:hAnsi="Arial" w:cs="Arial"/>
              </w:rPr>
              <w:t>2</w:t>
            </w:r>
            <w:proofErr w:type="gramEnd"/>
            <w:r w:rsidRPr="001C7A24">
              <w:rPr>
                <w:rFonts w:ascii="Arial" w:hAnsi="Arial" w:cs="Arial"/>
              </w:rPr>
              <w:t xml:space="preserve"> о реализации проекта МЧП, направление в ИО (отв. исп. –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2. Рассмотрение ИО предложения5 с проведением совместных переговоров ИО, ИП, ПП (при необходимости)6 . Срок - не более 180 дней со дня поступления в ИО предложения (отв. исп. – ИО, при содействии ПП, ИП, ОИП)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888"/>
      </w:tblGrid>
      <w:tr w:rsidR="001C7A24" w:rsidRPr="001C7A24" w:rsidTr="001C7A2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2.1.Утверждение заключения о неэффективности проекта и об отсутствии его сравнительного преимущества и направление в адрес ПП заключения, оригинала протокола переговоров (в случае если эти переговоры были проведены) (отв. исп. – ИО)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62"/>
        <w:tblOverlap w:val="never"/>
        <w:tblW w:w="0" w:type="auto"/>
        <w:tblLook w:val="01E0"/>
      </w:tblPr>
      <w:tblGrid>
        <w:gridCol w:w="3888"/>
      </w:tblGrid>
      <w:tr w:rsidR="001C7A24" w:rsidRPr="001C7A24" w:rsidTr="001C7A2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2.2. Утверждение заключения об эффективности проекта и его сравнительном преимуществе направление в адрес ПП заключения, оригинала протокола переговоров (в случае если эти переговоры были проведены) (отв. исп. – ИО)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tabs>
          <w:tab w:val="left" w:pos="708"/>
          <w:tab w:val="center" w:pos="2695"/>
        </w:tabs>
        <w:jc w:val="both"/>
        <w:rPr>
          <w:rFonts w:ascii="Arial" w:hAnsi="Arial" w:cs="Arial"/>
        </w:rPr>
      </w:pPr>
    </w:p>
    <w:p w:rsidR="001C7A24" w:rsidRPr="001C7A24" w:rsidRDefault="001C7A24" w:rsidP="001C7A24">
      <w:pPr>
        <w:tabs>
          <w:tab w:val="center" w:pos="2695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888"/>
      </w:tblGrid>
      <w:tr w:rsidR="001C7A24" w:rsidRPr="001C7A24" w:rsidTr="001C7A2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2.1.2. </w:t>
            </w:r>
            <w:proofErr w:type="gramStart"/>
            <w:r w:rsidRPr="001C7A24">
              <w:rPr>
                <w:rFonts w:ascii="Arial" w:hAnsi="Arial" w:cs="Arial"/>
              </w:rPr>
              <w:t>Размещение на сайте ИО решения, предложения и протокола переговоров Срок - в течение 5 дней со дня утверждения соответствующего заключения (отв. исп. – ИО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XSpec="right" w:tblpY="133"/>
        <w:tblOverlap w:val="never"/>
        <w:tblW w:w="0" w:type="auto"/>
        <w:tblLook w:val="01E0"/>
      </w:tblPr>
      <w:tblGrid>
        <w:gridCol w:w="3888"/>
      </w:tblGrid>
      <w:tr w:rsidR="001C7A24" w:rsidRPr="001C7A24" w:rsidTr="001C7A2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2.2.1. Размещение на сайте ИО решения, предложения и протокола переговоров. Срок - в течение 5 дней со дня утверждения соответствующего заключения (отв. исп. – ИО)</w:t>
            </w:r>
          </w:p>
        </w:tc>
      </w:tr>
    </w:tbl>
    <w:p w:rsidR="001C7A24" w:rsidRPr="001C7A24" w:rsidRDefault="001C7A24" w:rsidP="001C7A24">
      <w:pPr>
        <w:tabs>
          <w:tab w:val="left" w:pos="1635"/>
        </w:tabs>
        <w:jc w:val="both"/>
        <w:rPr>
          <w:rFonts w:ascii="Arial" w:hAnsi="Arial" w:cs="Arial"/>
        </w:rPr>
      </w:pPr>
      <w:r w:rsidRPr="001C7A24">
        <w:rPr>
          <w:rFonts w:ascii="Arial" w:hAnsi="Arial" w:cs="Arial"/>
        </w:rPr>
        <w:tab/>
      </w:r>
    </w:p>
    <w:p w:rsidR="001C7A24" w:rsidRPr="001C7A24" w:rsidRDefault="001C7A24" w:rsidP="001C7A24">
      <w:pPr>
        <w:tabs>
          <w:tab w:val="left" w:pos="1635"/>
        </w:tabs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3. Принятие решение о реализации проекта </w:t>
            </w:r>
            <w:proofErr w:type="spellStart"/>
            <w:r w:rsidRPr="001C7A24">
              <w:rPr>
                <w:rFonts w:ascii="Arial" w:hAnsi="Arial" w:cs="Arial"/>
              </w:rPr>
              <w:t>муниципально-частного</w:t>
            </w:r>
            <w:proofErr w:type="spellEnd"/>
            <w:r w:rsidRPr="001C7A24">
              <w:rPr>
                <w:rFonts w:ascii="Arial" w:hAnsi="Arial" w:cs="Arial"/>
              </w:rPr>
              <w:t xml:space="preserve"> партнерства на основании положительного заключения ИО. Срок – не более 60 дней со дня получения положительного заключения ИО (отв. исп. –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4. Принятие решения об организации и проведении конкурса (отв. исп. -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>5. Организация и проведение конкурса. Срок – 180 дней со дня принятия решения (отв. исп. - ПП)</w:t>
            </w:r>
          </w:p>
        </w:tc>
      </w:tr>
    </w:tbl>
    <w:p w:rsidR="001C7A24" w:rsidRPr="001C7A24" w:rsidRDefault="001C7A24" w:rsidP="001C7A24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1C7A24" w:rsidRPr="001C7A24" w:rsidTr="001C7A2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  <w:r w:rsidRPr="001C7A24">
              <w:rPr>
                <w:rFonts w:ascii="Arial" w:hAnsi="Arial" w:cs="Arial"/>
              </w:rPr>
              <w:t xml:space="preserve">6. Заключение соглашения о </w:t>
            </w:r>
            <w:proofErr w:type="spellStart"/>
            <w:r w:rsidRPr="001C7A24">
              <w:rPr>
                <w:rFonts w:ascii="Arial" w:hAnsi="Arial" w:cs="Arial"/>
              </w:rPr>
              <w:t>муниципально-частном</w:t>
            </w:r>
            <w:proofErr w:type="spellEnd"/>
            <w:r w:rsidRPr="001C7A24">
              <w:rPr>
                <w:rFonts w:ascii="Arial" w:hAnsi="Arial" w:cs="Arial"/>
              </w:rPr>
              <w:t xml:space="preserve"> партнерстве 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proofErr w:type="spellStart"/>
            <w:r w:rsidRPr="001C7A24">
              <w:rPr>
                <w:rFonts w:ascii="Arial" w:hAnsi="Arial" w:cs="Arial"/>
              </w:rPr>
              <w:t>torgi.gov.ru</w:t>
            </w:r>
            <w:proofErr w:type="spellEnd"/>
            <w:r w:rsidRPr="001C7A24">
              <w:rPr>
                <w:rFonts w:ascii="Arial" w:hAnsi="Arial" w:cs="Arial"/>
              </w:rPr>
              <w:t xml:space="preserve">. </w:t>
            </w:r>
            <w:proofErr w:type="gramStart"/>
            <w:r w:rsidRPr="001C7A24">
              <w:rPr>
                <w:rFonts w:ascii="Arial" w:hAnsi="Arial" w:cs="Arial"/>
              </w:rPr>
              <w:t>Соглашение о МЧП подлежит регистрации в реестре соглашений (отв. исп.- ПП</w:t>
            </w:r>
            <w:proofErr w:type="gramEnd"/>
          </w:p>
          <w:p w:rsidR="001C7A24" w:rsidRPr="001C7A24" w:rsidRDefault="001C7A24" w:rsidP="001C7A24">
            <w:pPr>
              <w:jc w:val="both"/>
              <w:rPr>
                <w:rFonts w:ascii="Arial" w:hAnsi="Arial" w:cs="Arial"/>
              </w:rPr>
            </w:pPr>
          </w:p>
        </w:tc>
      </w:tr>
    </w:tbl>
    <w:p w:rsidR="00394DE2" w:rsidRPr="001C7A24" w:rsidRDefault="00394DE2" w:rsidP="001C7A24">
      <w:pPr>
        <w:jc w:val="both"/>
        <w:rPr>
          <w:rFonts w:ascii="Arial" w:hAnsi="Arial" w:cs="Arial"/>
        </w:rPr>
      </w:pPr>
    </w:p>
    <w:sectPr w:rsidR="00394DE2" w:rsidRPr="001C7A24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A24"/>
    <w:rsid w:val="001C7A24"/>
    <w:rsid w:val="00394DE2"/>
    <w:rsid w:val="004C5F44"/>
    <w:rsid w:val="009704EB"/>
    <w:rsid w:val="009F7A1B"/>
    <w:rsid w:val="00D14E1B"/>
    <w:rsid w:val="00E4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2018-03-30T10:46:00Z</dcterms:created>
  <dcterms:modified xsi:type="dcterms:W3CDTF">2018-04-04T05:57:00Z</dcterms:modified>
</cp:coreProperties>
</file>