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60" w:rsidRDefault="00E67D60" w:rsidP="00E67D60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E67D60" w:rsidRDefault="00E67D60" w:rsidP="00E67D60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НИЖНЕБОРКОВСКОГО СЕЛЬСОВЕТА</w:t>
      </w:r>
    </w:p>
    <w:p w:rsidR="00E67D60" w:rsidRDefault="00E67D60" w:rsidP="00E67D60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ГОРШЕЧЕНСКОГО РАЙОНА КУРСКОЙ ОБЛАСТИ</w:t>
      </w:r>
    </w:p>
    <w:p w:rsidR="00E67D60" w:rsidRDefault="00E67D60" w:rsidP="00E67D60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67D60" w:rsidRDefault="00E67D60" w:rsidP="00E67D60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E67D60" w:rsidRDefault="00E67D60" w:rsidP="00E67D60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67D60" w:rsidRDefault="00E67D60" w:rsidP="00E67D60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 15 октября 2018 года      №34</w:t>
      </w:r>
      <w:r w:rsidR="00C83F73">
        <w:rPr>
          <w:rFonts w:ascii="Arial" w:eastAsia="Times New Roman" w:hAnsi="Arial" w:cs="Arial"/>
          <w:b/>
          <w:sz w:val="32"/>
          <w:szCs w:val="32"/>
        </w:rPr>
        <w:t>3</w:t>
      </w:r>
    </w:p>
    <w:p w:rsidR="00E67D60" w:rsidRDefault="00E67D60" w:rsidP="00E67D60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67D60" w:rsidRPr="00E67D60" w:rsidRDefault="00E67D60" w:rsidP="00E67D60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 w:rsidRPr="00E67D60">
        <w:rPr>
          <w:rFonts w:ascii="Arial" w:hAnsi="Arial" w:cs="Arial"/>
          <w:sz w:val="32"/>
          <w:szCs w:val="32"/>
        </w:rPr>
        <w:t>Об утверждении Правил</w:t>
      </w:r>
      <w:r w:rsidR="00BC18F6">
        <w:rPr>
          <w:rFonts w:ascii="Arial" w:hAnsi="Arial" w:cs="Arial"/>
          <w:sz w:val="32"/>
          <w:szCs w:val="32"/>
        </w:rPr>
        <w:t xml:space="preserve"> </w:t>
      </w:r>
      <w:r w:rsidRPr="00E67D60">
        <w:rPr>
          <w:rFonts w:ascii="Arial" w:hAnsi="Arial" w:cs="Arial"/>
          <w:sz w:val="32"/>
          <w:szCs w:val="32"/>
        </w:rPr>
        <w:t xml:space="preserve">благоустройства территории </w:t>
      </w:r>
    </w:p>
    <w:p w:rsidR="00E67D60" w:rsidRPr="00E67D60" w:rsidRDefault="00E67D60" w:rsidP="00E67D60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 w:rsidRPr="00E67D60">
        <w:rPr>
          <w:rFonts w:ascii="Arial" w:hAnsi="Arial" w:cs="Arial"/>
          <w:sz w:val="32"/>
          <w:szCs w:val="32"/>
        </w:rPr>
        <w:t>муниципального образования «Нижнеборковский сельсовет» Горшеченского района Курской области</w:t>
      </w:r>
    </w:p>
    <w:p w:rsidR="00E67D60" w:rsidRDefault="00E67D60" w:rsidP="00E67D60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67D60" w:rsidRDefault="00D477A2" w:rsidP="00E67D60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r w:rsidR="00E67D60" w:rsidRPr="00E67D60">
        <w:rPr>
          <w:rFonts w:ascii="Arial" w:hAnsi="Arial" w:cs="Arial"/>
          <w:sz w:val="24"/>
          <w:szCs w:val="24"/>
        </w:rPr>
        <w:t xml:space="preserve">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</w:t>
      </w:r>
      <w:r w:rsidR="00E67D60">
        <w:rPr>
          <w:rFonts w:ascii="Arial" w:hAnsi="Arial" w:cs="Arial"/>
          <w:sz w:val="24"/>
          <w:szCs w:val="24"/>
        </w:rPr>
        <w:t xml:space="preserve"> </w:t>
      </w:r>
      <w:r w:rsidR="00E67D60" w:rsidRPr="00E67D60">
        <w:rPr>
          <w:rFonts w:ascii="Arial" w:hAnsi="Arial" w:cs="Arial"/>
          <w:sz w:val="24"/>
          <w:szCs w:val="24"/>
        </w:rPr>
        <w:t xml:space="preserve">1999 года № 52-ФЗ «О санитарно-эпидемиологическом благополучии населения», Федеральным законом от 10 января 2002 года № 7-ФЗ «Об охране окружающей среды», Приказом </w:t>
      </w:r>
      <w:proofErr w:type="spellStart"/>
      <w:r w:rsidR="00E67D60" w:rsidRPr="00E67D60">
        <w:rPr>
          <w:rFonts w:ascii="Arial" w:hAnsi="Arial" w:cs="Arial"/>
          <w:sz w:val="24"/>
          <w:szCs w:val="24"/>
        </w:rPr>
        <w:t>Минрегиона</w:t>
      </w:r>
      <w:proofErr w:type="spellEnd"/>
      <w:r w:rsidR="00E67D60" w:rsidRPr="00E67D60">
        <w:rPr>
          <w:rFonts w:ascii="Arial" w:hAnsi="Arial" w:cs="Arial"/>
          <w:sz w:val="24"/>
          <w:szCs w:val="24"/>
        </w:rPr>
        <w:t xml:space="preserve"> РФ от 27 декабря 2011</w:t>
      </w:r>
      <w:proofErr w:type="gramEnd"/>
      <w:r w:rsidR="00E67D60" w:rsidRPr="00E67D6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7D60" w:rsidRPr="00E67D60">
        <w:rPr>
          <w:rFonts w:ascii="Arial" w:hAnsi="Arial" w:cs="Arial"/>
          <w:sz w:val="24"/>
          <w:szCs w:val="24"/>
        </w:rPr>
        <w:t xml:space="preserve">года № 613 «Об утверждении Методических рекомендаций по разработке норм и правил по благоустройству территорий муниципальных образований», Законом Курской области №59-ЗКО «О порядке определения органами местного самоуправления Курской области границ прилегающих территорий» от 24.09.2018г., </w:t>
      </w:r>
      <w:r w:rsidR="00E67D60">
        <w:rPr>
          <w:rFonts w:ascii="Arial" w:hAnsi="Arial" w:cs="Arial"/>
          <w:sz w:val="24"/>
          <w:szCs w:val="24"/>
        </w:rPr>
        <w:t>Уставом МО «Нижнеборковский сельсовет»,</w:t>
      </w:r>
      <w:r w:rsidR="00E67D60">
        <w:rPr>
          <w:rFonts w:ascii="Arial" w:eastAsia="Times New Roman" w:hAnsi="Arial" w:cs="Arial"/>
          <w:sz w:val="24"/>
          <w:szCs w:val="24"/>
        </w:rPr>
        <w:t xml:space="preserve"> в целях обеспечения благоустройства территории МО «Нижнеборковский сельсовет» и определения порядка уборки и содержания сельских территорий, Собрание депутатов Нижнеборковского сельсовета решило: </w:t>
      </w:r>
      <w:proofErr w:type="gramEnd"/>
    </w:p>
    <w:p w:rsidR="00E67D60" w:rsidRDefault="00E67D60" w:rsidP="00E67D6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Утвердить Правила благоустройства территории МО «Нижнеборковский сельсовет» Горшеченского района Курской области согласно приложению. </w:t>
      </w:r>
    </w:p>
    <w:p w:rsidR="00E67D60" w:rsidRDefault="00E67D60" w:rsidP="00E67D6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Считать утратившими силу решение № 12 от 15.05.2012 года «</w:t>
      </w:r>
      <w:r>
        <w:rPr>
          <w:rFonts w:ascii="Arial" w:hAnsi="Arial" w:cs="Arial"/>
          <w:sz w:val="24"/>
          <w:szCs w:val="24"/>
        </w:rPr>
        <w:t>Об утверждении Правил благоустройства, содержания и озеленения территории Нижнеборковского сельсовета Горшеченского района Курской области</w:t>
      </w:r>
      <w:r>
        <w:rPr>
          <w:rFonts w:ascii="Arial" w:eastAsia="Times New Roman" w:hAnsi="Arial" w:cs="Arial"/>
          <w:sz w:val="24"/>
          <w:szCs w:val="24"/>
        </w:rPr>
        <w:t xml:space="preserve">» </w:t>
      </w:r>
    </w:p>
    <w:p w:rsidR="00E67D60" w:rsidRDefault="00E67D60" w:rsidP="00E67D6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Решение вступает в силу со дня официального обнародования. </w:t>
      </w:r>
    </w:p>
    <w:p w:rsidR="00E67D60" w:rsidRDefault="00E67D60" w:rsidP="00E67D6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67D60" w:rsidRDefault="00E67D60" w:rsidP="00E67D6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67D60" w:rsidRDefault="00E67D60" w:rsidP="00E67D6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D477A2" w:rsidRDefault="00E67D60" w:rsidP="00E67D6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Нижнеборковского сельсовета</w:t>
      </w:r>
    </w:p>
    <w:p w:rsidR="00E67D60" w:rsidRDefault="00D477A2" w:rsidP="00E67D6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Горшеченского района                        </w:t>
      </w:r>
      <w:r w:rsidR="00E67D6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</w:t>
      </w:r>
      <w:proofErr w:type="spellStart"/>
      <w:r w:rsidR="00E67D60">
        <w:rPr>
          <w:rFonts w:ascii="Arial" w:eastAsia="Times New Roman" w:hAnsi="Arial" w:cs="Arial"/>
          <w:sz w:val="24"/>
          <w:szCs w:val="24"/>
        </w:rPr>
        <w:t>А.Н.Часовских</w:t>
      </w:r>
      <w:proofErr w:type="spellEnd"/>
      <w:r w:rsidR="00E67D60">
        <w:rPr>
          <w:rFonts w:ascii="Arial" w:eastAsia="Times New Roman" w:hAnsi="Arial" w:cs="Arial"/>
          <w:sz w:val="24"/>
          <w:szCs w:val="24"/>
        </w:rPr>
        <w:t xml:space="preserve"> </w:t>
      </w:r>
    </w:p>
    <w:p w:rsidR="00E67D60" w:rsidRDefault="00E67D60" w:rsidP="00E67D6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67D60" w:rsidRDefault="00E67D60" w:rsidP="00E67D6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67D60" w:rsidRDefault="00E67D60" w:rsidP="00E67D6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67D60" w:rsidRDefault="00E67D60" w:rsidP="00E67D6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67D60" w:rsidRDefault="00E67D60" w:rsidP="00E67D6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67D60" w:rsidRDefault="00413102" w:rsidP="00E67D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E67D60" w:rsidRPr="00E67D60" w:rsidRDefault="00E67D60" w:rsidP="00E67D60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lastRenderedPageBreak/>
        <w:t>Приложение к решению Собрания депутатов Нижнеборковского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E67D60">
        <w:rPr>
          <w:rFonts w:ascii="Arial" w:hAnsi="Arial" w:cs="Arial"/>
          <w:sz w:val="24"/>
          <w:szCs w:val="24"/>
        </w:rPr>
        <w:t>Горшеченского района Курской области №34</w:t>
      </w:r>
      <w:r w:rsidR="00C83F73">
        <w:rPr>
          <w:rFonts w:ascii="Arial" w:hAnsi="Arial" w:cs="Arial"/>
          <w:sz w:val="24"/>
          <w:szCs w:val="24"/>
        </w:rPr>
        <w:t>3</w:t>
      </w:r>
      <w:r w:rsidRPr="00E67D60">
        <w:rPr>
          <w:rFonts w:ascii="Arial" w:hAnsi="Arial" w:cs="Arial"/>
          <w:sz w:val="24"/>
          <w:szCs w:val="24"/>
        </w:rPr>
        <w:t xml:space="preserve"> от 15.10.2018 года.</w:t>
      </w:r>
    </w:p>
    <w:p w:rsidR="00413102" w:rsidRPr="00E67D60" w:rsidRDefault="00413102" w:rsidP="00E67D60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413102" w:rsidRPr="003D6F2F" w:rsidRDefault="00413102" w:rsidP="00413102">
      <w:pPr>
        <w:pStyle w:val="ConsPlusTitle"/>
        <w:widowControl/>
        <w:jc w:val="center"/>
        <w:outlineLvl w:val="1"/>
        <w:rPr>
          <w:rFonts w:ascii="Arial" w:hAnsi="Arial" w:cs="Arial"/>
          <w:sz w:val="28"/>
          <w:szCs w:val="28"/>
        </w:rPr>
      </w:pPr>
      <w:r w:rsidRPr="003D6F2F">
        <w:rPr>
          <w:rFonts w:ascii="Arial" w:hAnsi="Arial" w:cs="Arial"/>
          <w:sz w:val="28"/>
          <w:szCs w:val="28"/>
        </w:rPr>
        <w:t>Правила</w:t>
      </w:r>
    </w:p>
    <w:p w:rsidR="00413102" w:rsidRPr="003D6F2F" w:rsidRDefault="00413102" w:rsidP="00413102">
      <w:pPr>
        <w:pStyle w:val="ConsPlusTitle"/>
        <w:widowControl/>
        <w:jc w:val="center"/>
        <w:outlineLvl w:val="1"/>
        <w:rPr>
          <w:rFonts w:ascii="Arial" w:hAnsi="Arial" w:cs="Arial"/>
          <w:sz w:val="28"/>
          <w:szCs w:val="28"/>
        </w:rPr>
      </w:pPr>
      <w:r w:rsidRPr="003D6F2F">
        <w:rPr>
          <w:rFonts w:ascii="Arial" w:hAnsi="Arial" w:cs="Arial"/>
          <w:sz w:val="28"/>
          <w:szCs w:val="28"/>
        </w:rPr>
        <w:t xml:space="preserve">благоустройства территории муниципального </w:t>
      </w:r>
      <w:r w:rsidR="00E67D60" w:rsidRPr="003D6F2F">
        <w:rPr>
          <w:rFonts w:ascii="Arial" w:hAnsi="Arial" w:cs="Arial"/>
          <w:sz w:val="28"/>
          <w:szCs w:val="28"/>
        </w:rPr>
        <w:t>образования «Нижнеборковский сельсовет» Горшеченского района</w:t>
      </w:r>
      <w:r w:rsidR="00BC18F6" w:rsidRPr="003D6F2F">
        <w:rPr>
          <w:rFonts w:ascii="Arial" w:hAnsi="Arial" w:cs="Arial"/>
          <w:sz w:val="28"/>
          <w:szCs w:val="28"/>
        </w:rPr>
        <w:t xml:space="preserve"> Курской области </w:t>
      </w:r>
    </w:p>
    <w:p w:rsidR="00413102" w:rsidRDefault="00413102" w:rsidP="004131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7D60">
        <w:rPr>
          <w:rFonts w:ascii="Arial" w:hAnsi="Arial" w:cs="Arial"/>
          <w:b/>
          <w:sz w:val="24"/>
          <w:szCs w:val="24"/>
        </w:rPr>
        <w:t>Раздел 1. Общие положения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67D60">
        <w:rPr>
          <w:rFonts w:ascii="Arial" w:hAnsi="Arial" w:cs="Arial"/>
          <w:sz w:val="24"/>
          <w:szCs w:val="24"/>
        </w:rPr>
        <w:t xml:space="preserve">Правила благоустройства территории </w:t>
      </w:r>
      <w:r w:rsidR="00E67D60">
        <w:rPr>
          <w:rFonts w:ascii="Arial" w:hAnsi="Arial" w:cs="Arial"/>
          <w:sz w:val="24"/>
          <w:szCs w:val="24"/>
        </w:rPr>
        <w:t>МО «Нижнеборковский сельсовет»</w:t>
      </w:r>
      <w:r w:rsidRPr="00E67D60">
        <w:rPr>
          <w:rFonts w:ascii="Arial" w:hAnsi="Arial" w:cs="Arial"/>
          <w:sz w:val="24"/>
          <w:szCs w:val="24"/>
        </w:rPr>
        <w:t xml:space="preserve"> (далее по тексту - Правила) разработаны в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</w:t>
      </w:r>
      <w:r w:rsidR="00E67D60">
        <w:rPr>
          <w:rFonts w:ascii="Arial" w:hAnsi="Arial" w:cs="Arial"/>
          <w:sz w:val="24"/>
          <w:szCs w:val="24"/>
        </w:rPr>
        <w:t xml:space="preserve"> </w:t>
      </w:r>
      <w:r w:rsidRPr="00E67D60">
        <w:rPr>
          <w:rFonts w:ascii="Arial" w:hAnsi="Arial" w:cs="Arial"/>
          <w:sz w:val="24"/>
          <w:szCs w:val="24"/>
        </w:rPr>
        <w:t>1999 года № 52-ФЗ «О санитарно-эпидемиологическом благополучии населения», Федеральным законом от 10 января 2002 года № 7-ФЗ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E67D60">
        <w:rPr>
          <w:rFonts w:ascii="Arial" w:hAnsi="Arial" w:cs="Arial"/>
          <w:sz w:val="24"/>
          <w:szCs w:val="24"/>
        </w:rPr>
        <w:t xml:space="preserve">Об охране окружающей среды», Приказом </w:t>
      </w:r>
      <w:proofErr w:type="spellStart"/>
      <w:r w:rsidRPr="00E67D60">
        <w:rPr>
          <w:rFonts w:ascii="Arial" w:hAnsi="Arial" w:cs="Arial"/>
          <w:sz w:val="24"/>
          <w:szCs w:val="24"/>
        </w:rPr>
        <w:t>Минрегиона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РФ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образований», Законом Курской области №59-ЗКО «О порядке определения органами местного самоуправления Курской области границ прилегающих территорий» от 2</w:t>
      </w:r>
      <w:r w:rsidR="00E7246B" w:rsidRPr="00E67D60">
        <w:rPr>
          <w:rFonts w:ascii="Arial" w:hAnsi="Arial" w:cs="Arial"/>
          <w:sz w:val="24"/>
          <w:szCs w:val="24"/>
        </w:rPr>
        <w:t>4</w:t>
      </w:r>
      <w:r w:rsidRPr="00E67D60">
        <w:rPr>
          <w:rFonts w:ascii="Arial" w:hAnsi="Arial" w:cs="Arial"/>
          <w:sz w:val="24"/>
          <w:szCs w:val="24"/>
        </w:rPr>
        <w:t>.09.2018г., иными нормативными правовыми актами, регулирующими правоотношения по благоустройству, уборке, озеленению населенных пунктов.</w:t>
      </w:r>
      <w:proofErr w:type="gramEnd"/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Настоящие Правила устанавливают общие параметры и рекомендуемое минимальное сочетание элементов благоустройства для создания безопасной, удобной и привлекательной среды территорий муниципального образования.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1.2. Проектирование и эксплуатация элементов благоустройства обеспечивают требования охраны здоровья человека, исторической и природной среды, архитектурной привлекательности, создают технические возможности беспрепятственного передвижения </w:t>
      </w:r>
      <w:proofErr w:type="spellStart"/>
      <w:r w:rsidRPr="00E67D60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групп населения по территории.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E67D60">
        <w:rPr>
          <w:rFonts w:ascii="Arial" w:hAnsi="Arial" w:cs="Arial"/>
          <w:sz w:val="24"/>
          <w:szCs w:val="24"/>
        </w:rPr>
        <w:t>Правила устанавливают обязательные нормы и требования в сфере благоустройства территории для всех юридических и физических лиц и форм хозяйственной деятельности,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67D60">
        <w:rPr>
          <w:rFonts w:ascii="Arial" w:hAnsi="Arial" w:cs="Arial"/>
          <w:sz w:val="24"/>
          <w:szCs w:val="24"/>
        </w:rPr>
        <w:t xml:space="preserve">зданий (помещений в них) и сооружений в благоустройстве прилегающих территорий; организация благоустройства территории (включая освещение улиц, озеленение территории, установку указателей с наименованиями улиц и номерами домов, установку информационных дорожных модулей с информацией об объектах притяжения участников дорожного движения, размещение и содержание малых архитектурных форм), расположенных в границах </w:t>
      </w:r>
      <w:r w:rsidR="00AB3022">
        <w:rPr>
          <w:rFonts w:ascii="Arial" w:hAnsi="Arial" w:cs="Arial"/>
          <w:sz w:val="24"/>
          <w:szCs w:val="24"/>
        </w:rPr>
        <w:t xml:space="preserve">МО «Нижнеборковский сельсовет» </w:t>
      </w:r>
      <w:r w:rsidRPr="00E67D60">
        <w:rPr>
          <w:rFonts w:ascii="Arial" w:hAnsi="Arial" w:cs="Arial"/>
          <w:sz w:val="24"/>
          <w:szCs w:val="24"/>
        </w:rPr>
        <w:t>Горшеченского района.</w:t>
      </w:r>
      <w:proofErr w:type="gramEnd"/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1.4. Основные понятия, используемые в настоящих  Правилах. 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lastRenderedPageBreak/>
        <w:t>Благоустройство территории</w:t>
      </w:r>
      <w:r w:rsidRPr="00E67D60">
        <w:rPr>
          <w:rFonts w:ascii="Arial" w:hAnsi="Arial" w:cs="Arial"/>
          <w:sz w:val="24"/>
          <w:szCs w:val="24"/>
        </w:rPr>
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67D60">
        <w:rPr>
          <w:rFonts w:ascii="Arial" w:hAnsi="Arial" w:cs="Arial"/>
          <w:b/>
          <w:i/>
          <w:sz w:val="24"/>
          <w:szCs w:val="24"/>
        </w:rPr>
        <w:t>Элементы благоустройства территории</w:t>
      </w:r>
      <w:r w:rsidRPr="00E67D60">
        <w:rPr>
          <w:rFonts w:ascii="Arial" w:hAnsi="Arial" w:cs="Arial"/>
          <w:sz w:val="24"/>
          <w:szCs w:val="24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нестационарные (некапитальные) сооружения, наружная реклама и информация, информационные объекты субъектов предпринимательства, указатели, информационные дорожные модули, используемые как составные части благоустройства.</w:t>
      </w:r>
      <w:proofErr w:type="gramEnd"/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Объекты благоустройства территории</w:t>
      </w:r>
      <w:r w:rsidRPr="00E67D60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E67D60">
        <w:rPr>
          <w:rFonts w:ascii="Arial" w:hAnsi="Arial" w:cs="Arial"/>
          <w:sz w:val="24"/>
          <w:szCs w:val="24"/>
        </w:rPr>
        <w:t>территории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Архитектурный облик здания, строения, сооружения</w:t>
      </w:r>
      <w:r w:rsidRPr="00E67D60">
        <w:rPr>
          <w:rFonts w:ascii="Arial" w:hAnsi="Arial" w:cs="Arial"/>
          <w:sz w:val="24"/>
          <w:szCs w:val="24"/>
        </w:rPr>
        <w:t xml:space="preserve"> – внешний облик здания, строения, сооружения, созданный на основе архитектурного проекта.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Архитектурный облик населенных пунктов</w:t>
      </w:r>
      <w:r w:rsidRPr="00E67D60">
        <w:rPr>
          <w:rFonts w:ascii="Arial" w:hAnsi="Arial" w:cs="Arial"/>
          <w:sz w:val="24"/>
          <w:szCs w:val="24"/>
        </w:rPr>
        <w:t xml:space="preserve"> – формируется из исторически сложившегося архитектурно-</w:t>
      </w:r>
      <w:proofErr w:type="gramStart"/>
      <w:r w:rsidRPr="00E67D60">
        <w:rPr>
          <w:rFonts w:ascii="Arial" w:hAnsi="Arial" w:cs="Arial"/>
          <w:sz w:val="24"/>
          <w:szCs w:val="24"/>
        </w:rPr>
        <w:t>планировочного решения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, архитектурного облика, улиц,  архитектурного облика зданий, сооружений, малых архитектурных форм, а также объектов, которые ввиду своих художественных, конструктивных или иных качеств концентрируют на себе внимание зрителя, а также формируют зрительные архитектурные акценты, составляющие художественное своеобразие. 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Уборка территорий</w:t>
      </w:r>
      <w:r w:rsidRPr="00E67D60">
        <w:rPr>
          <w:rFonts w:ascii="Arial" w:hAnsi="Arial" w:cs="Arial"/>
          <w:sz w:val="24"/>
          <w:szCs w:val="24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Крупногабаритный мусор (КГМ)</w:t>
      </w:r>
      <w:r w:rsidRPr="00E67D60">
        <w:rPr>
          <w:rFonts w:ascii="Arial" w:hAnsi="Arial" w:cs="Arial"/>
          <w:sz w:val="24"/>
          <w:szCs w:val="24"/>
        </w:rPr>
        <w:t xml:space="preserve"> - отходы потребления и хозяйственной деятельности (бытовая техника, мебель и др.), утратившие свои потребительские свойства, не помещающиеся по габаритам в стандартные контейнеры.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 xml:space="preserve">Контейнер </w:t>
      </w:r>
      <w:r w:rsidRPr="00E67D60">
        <w:rPr>
          <w:rFonts w:ascii="Arial" w:hAnsi="Arial" w:cs="Arial"/>
          <w:sz w:val="24"/>
          <w:szCs w:val="24"/>
        </w:rPr>
        <w:t>- стандартная емкость для сбора ТБО вместимостью 0,75 куб.</w:t>
      </w:r>
      <w:proofErr w:type="gramStart"/>
      <w:r w:rsidRPr="00E67D60">
        <w:rPr>
          <w:rFonts w:ascii="Arial" w:hAnsi="Arial" w:cs="Arial"/>
          <w:sz w:val="24"/>
          <w:szCs w:val="24"/>
        </w:rPr>
        <w:t>м</w:t>
      </w:r>
      <w:proofErr w:type="gramEnd"/>
      <w:r w:rsidRPr="00E67D60">
        <w:rPr>
          <w:rFonts w:ascii="Arial" w:hAnsi="Arial" w:cs="Arial"/>
          <w:sz w:val="24"/>
          <w:szCs w:val="24"/>
        </w:rPr>
        <w:t>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Несанкционированная свалка мусора</w:t>
      </w:r>
      <w:r w:rsidRPr="00E67D60">
        <w:rPr>
          <w:rFonts w:ascii="Arial" w:hAnsi="Arial" w:cs="Arial"/>
          <w:sz w:val="24"/>
          <w:szCs w:val="24"/>
        </w:rPr>
        <w:t xml:space="preserve"> - самовольный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лиц.</w:t>
      </w:r>
    </w:p>
    <w:p w:rsidR="00413102" w:rsidRPr="00E67D60" w:rsidRDefault="00413102" w:rsidP="0041310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E67D60">
        <w:rPr>
          <w:rFonts w:ascii="Arial" w:eastAsia="Times New Roman" w:hAnsi="Arial" w:cs="Arial"/>
          <w:b/>
          <w:i/>
          <w:sz w:val="24"/>
          <w:szCs w:val="24"/>
        </w:rPr>
        <w:t xml:space="preserve">         </w:t>
      </w:r>
      <w:proofErr w:type="gramStart"/>
      <w:r w:rsidRPr="00E67D60">
        <w:rPr>
          <w:rFonts w:ascii="Arial" w:eastAsia="Times New Roman" w:hAnsi="Arial" w:cs="Arial"/>
          <w:b/>
          <w:i/>
          <w:sz w:val="24"/>
          <w:szCs w:val="24"/>
        </w:rPr>
        <w:t xml:space="preserve">Прилегающая территория - </w:t>
      </w:r>
      <w:r w:rsidRPr="00E67D60">
        <w:rPr>
          <w:rFonts w:ascii="Arial" w:eastAsia="Times New Roman" w:hAnsi="Arial" w:cs="Arial"/>
          <w:sz w:val="24"/>
          <w:szCs w:val="24"/>
        </w:rPr>
        <w:t xml:space="preserve">территория, непосредственно примыкающая к границам здания, сооружения, ограждения, к строительной площадке, объектам торговли, рекламы и иным объектам, находящимся в собственности, владении, аренде, на балансе у юридических или физических лиц </w:t>
      </w:r>
      <w:proofErr w:type="gramEnd"/>
    </w:p>
    <w:p w:rsidR="00413102" w:rsidRPr="00E67D60" w:rsidRDefault="00413102" w:rsidP="0041310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67D60">
        <w:rPr>
          <w:rFonts w:ascii="Arial" w:hAnsi="Arial" w:cs="Arial"/>
          <w:b/>
          <w:sz w:val="24"/>
          <w:szCs w:val="24"/>
        </w:rPr>
        <w:t>Раздел 2. Элементы благоустройства территории</w:t>
      </w:r>
    </w:p>
    <w:p w:rsidR="00413102" w:rsidRPr="00E67D60" w:rsidRDefault="00413102" w:rsidP="0041310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2.1. Элементы инженерной подготовки и защиты территории.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</w:t>
      </w:r>
      <w:r w:rsidRPr="00E67D60">
        <w:rPr>
          <w:rFonts w:ascii="Arial" w:hAnsi="Arial" w:cs="Arial"/>
          <w:sz w:val="24"/>
          <w:szCs w:val="24"/>
        </w:rPr>
        <w:lastRenderedPageBreak/>
        <w:t>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413102" w:rsidRPr="00E67D60" w:rsidRDefault="00413102" w:rsidP="00413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2.2. Озеленение.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2.2.1. Озеленение - элемент благоустройства и ландшафтной организации территории, обеспечивающий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территории. 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2.2.2. </w:t>
      </w:r>
      <w:proofErr w:type="gramStart"/>
      <w:r w:rsidRPr="00E67D60">
        <w:rPr>
          <w:rFonts w:ascii="Arial" w:hAnsi="Arial" w:cs="Arial"/>
          <w:sz w:val="24"/>
          <w:szCs w:val="24"/>
        </w:rPr>
        <w:t>Основными типами насаждений и озеленения могут являться: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В зависимости от выбора типов насаждений определяется объёмно-пространственная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tbl>
      <w:tblPr>
        <w:tblW w:w="9445" w:type="dxa"/>
        <w:tblCellSpacing w:w="15" w:type="dxa"/>
        <w:tblInd w:w="30" w:type="dxa"/>
        <w:tblLook w:val="00A0"/>
      </w:tblPr>
      <w:tblGrid>
        <w:gridCol w:w="3169"/>
        <w:gridCol w:w="6276"/>
      </w:tblGrid>
      <w:tr w:rsidR="00413102" w:rsidRPr="00E67D60" w:rsidTr="004131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102" w:rsidRPr="00E67D60" w:rsidRDefault="0041310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>2.2.3. На территории населенных пунктов устанавливаются следующие доли цветников на озелененных территориях вновь проектируемых объектов рекреации (в</w:t>
            </w:r>
            <w:r w:rsidRPr="00E67D60">
              <w:rPr>
                <w:rFonts w:ascii="Arial" w:hAnsi="Arial" w:cs="Arial"/>
                <w:bCs/>
                <w:sz w:val="24"/>
                <w:szCs w:val="24"/>
              </w:rPr>
              <w:t xml:space="preserve"> процентах):</w:t>
            </w:r>
          </w:p>
          <w:p w:rsidR="00413102" w:rsidRPr="00E67D60" w:rsidRDefault="0041310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67D6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Виды объектов рекреации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67D6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Удельный вес цветников от площади озеленения   объектов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Парки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2,0-2,5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Сады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2,5-3,0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Скверы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4,0-5,0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Бульвары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3,0-4,0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При этом не менее половины от площади цветника формируются из многолетников. </w:t>
            </w:r>
          </w:p>
        </w:tc>
      </w:tr>
    </w:tbl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Собственники участков, на которых находятся зеленые насаждения, обязаны  обеспечить целевое назначение зеленых насаждений.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Запрещается использование зеленых насаждений  для любых иных целей, в том числе расклеивания, размещения, крепления афиш, объявлений, иной малоформатной  информации, в том числе рекламной.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2.3. Виды покрытий.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2.3.1. Покрытия поверхности обеспечивают на территории  условия безопасного и комфортного передвижения, а также формируют архитектурно-художественный облик среды. Для целей благоустройства территории рекомендуется определять следующие виды покрытий: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- </w:t>
      </w:r>
      <w:r w:rsidRPr="00E67D60">
        <w:rPr>
          <w:rFonts w:ascii="Arial" w:hAnsi="Arial" w:cs="Arial"/>
          <w:sz w:val="24"/>
          <w:szCs w:val="24"/>
          <w:u w:val="single"/>
        </w:rPr>
        <w:t>твердые</w:t>
      </w:r>
      <w:r w:rsidRPr="00E67D60">
        <w:rPr>
          <w:rFonts w:ascii="Arial" w:hAnsi="Arial" w:cs="Arial"/>
          <w:sz w:val="24"/>
          <w:szCs w:val="24"/>
        </w:rPr>
        <w:t xml:space="preserve"> (капитальные) - монолитные или сборные, выполняемые из асфальтобетона, </w:t>
      </w:r>
      <w:proofErr w:type="spellStart"/>
      <w:r w:rsidRPr="00E67D60">
        <w:rPr>
          <w:rFonts w:ascii="Arial" w:hAnsi="Arial" w:cs="Arial"/>
          <w:sz w:val="24"/>
          <w:szCs w:val="24"/>
        </w:rPr>
        <w:t>цементобетона</w:t>
      </w:r>
      <w:proofErr w:type="spellEnd"/>
      <w:r w:rsidRPr="00E67D60">
        <w:rPr>
          <w:rFonts w:ascii="Arial" w:hAnsi="Arial" w:cs="Arial"/>
          <w:sz w:val="24"/>
          <w:szCs w:val="24"/>
        </w:rPr>
        <w:t>, природного камня и т.п. материалов;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- </w:t>
      </w:r>
      <w:r w:rsidRPr="00E67D60">
        <w:rPr>
          <w:rFonts w:ascii="Arial" w:hAnsi="Arial" w:cs="Arial"/>
          <w:sz w:val="24"/>
          <w:szCs w:val="24"/>
          <w:u w:val="single"/>
        </w:rPr>
        <w:t>мягкие</w:t>
      </w:r>
      <w:r w:rsidRPr="00E67D60">
        <w:rPr>
          <w:rFonts w:ascii="Arial" w:hAnsi="Arial" w:cs="Arial"/>
          <w:sz w:val="24"/>
          <w:szCs w:val="24"/>
        </w:rPr>
        <w:t xml:space="preserve"> (некапитальные) - выполняемые из природных или искусственных сыпучих материалов (песок, щебень, гранитные высевки, керамзит, резиновая </w:t>
      </w:r>
      <w:r w:rsidRPr="00E67D60">
        <w:rPr>
          <w:rFonts w:ascii="Arial" w:hAnsi="Arial" w:cs="Arial"/>
          <w:sz w:val="24"/>
          <w:szCs w:val="24"/>
        </w:rPr>
        <w:lastRenderedPageBreak/>
        <w:t>крошка и др.), находящихся в естественном состоянии, сухих смесях, уплотненных или укрепленных вяжущими;</w:t>
      </w:r>
    </w:p>
    <w:p w:rsidR="00413102" w:rsidRPr="00E67D60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- </w:t>
      </w:r>
      <w:r w:rsidRPr="00E67D60">
        <w:rPr>
          <w:rFonts w:ascii="Arial" w:hAnsi="Arial" w:cs="Arial"/>
          <w:sz w:val="24"/>
          <w:szCs w:val="24"/>
          <w:u w:val="single"/>
        </w:rPr>
        <w:t>газонные</w:t>
      </w:r>
      <w:r w:rsidRPr="00E67D60">
        <w:rPr>
          <w:rFonts w:ascii="Arial" w:hAnsi="Arial" w:cs="Arial"/>
          <w:sz w:val="24"/>
          <w:szCs w:val="24"/>
        </w:rPr>
        <w:t>, выполняемые по специальным технологиям подготовки и посадки травяного покрова;</w:t>
      </w:r>
    </w:p>
    <w:p w:rsidR="00413102" w:rsidRPr="00E67D60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</w:t>
      </w:r>
      <w:r w:rsidRPr="00E67D60">
        <w:rPr>
          <w:rFonts w:ascii="Arial" w:hAnsi="Arial" w:cs="Arial"/>
          <w:sz w:val="24"/>
          <w:szCs w:val="24"/>
          <w:u w:val="single"/>
        </w:rPr>
        <w:t xml:space="preserve"> комбинированные</w:t>
      </w:r>
      <w:r w:rsidRPr="00E67D60">
        <w:rPr>
          <w:rFonts w:ascii="Arial" w:hAnsi="Arial" w:cs="Arial"/>
          <w:sz w:val="24"/>
          <w:szCs w:val="24"/>
        </w:rPr>
        <w:t>, представляющие сочетания покрытий, указанных выше (например, плитка, утопленная в газон и т.п.).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2.3.2. Вид покрытия определяется  при проведении проектирования объекта и является обязательным условием ввода объекта в эксплуатацию.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2.3.3. Правообладатель земельного участка, а также лица, у которого в соответствии с действующим законодательством, муниципальными правовыми актами или договором существует обязанность по уборке или благоустройству этой территории, обязан обеспечить содержание покрытия в состоянии, которое было на момент ввода объекта в эксплуатацию, </w:t>
      </w:r>
      <w:proofErr w:type="gramStart"/>
      <w:r w:rsidRPr="00E67D60">
        <w:rPr>
          <w:rFonts w:ascii="Arial" w:hAnsi="Arial" w:cs="Arial"/>
          <w:sz w:val="24"/>
          <w:szCs w:val="24"/>
        </w:rPr>
        <w:t>согласно проекта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с учетом естественного износа. Возникшие повреждения покрытия должны быть устранены в 10-дневный срок, за исключением твердых покрытий, поврежденных в результате погодных условий в зимний период, которые должны быть восстановлены не позднее  1 мая.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2.3.4.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на ступенях лестниц, площадках крылец входных групп зданий.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2.3.5. Для деревьев, расположенных в мощении, при отсутствии иных видов защиты (приствольных решеток, бордюров, </w:t>
      </w:r>
      <w:proofErr w:type="spellStart"/>
      <w:r w:rsidRPr="00E67D60">
        <w:rPr>
          <w:rFonts w:ascii="Arial" w:hAnsi="Arial" w:cs="Arial"/>
          <w:sz w:val="24"/>
          <w:szCs w:val="24"/>
        </w:rPr>
        <w:t>периметральных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скамеек и пр.) должны выполняться защитные виды покрытий в радиусе не менее 1,5 м от ствола: щебеночное, галечное, «соты» с засевом газона. Защитное покрытие может быть выполнено в одном уровне или выше покрытия пешеходных коммуникаций.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2.3.6. Колористическое решение применяемого вида покрытия рекомендуется выполнять с учетом цветового решения формируемой среды, а на территориях общественных пространств - соответствующей концепции цветового решения этих территорий, согласованной  органом исполнительной власти.</w:t>
      </w: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E67D60">
        <w:rPr>
          <w:rFonts w:ascii="Arial" w:hAnsi="Arial" w:cs="Arial"/>
          <w:b/>
          <w:i/>
          <w:sz w:val="24"/>
          <w:szCs w:val="24"/>
        </w:rPr>
        <w:t>2.4. Сопряжения поверхностей.</w:t>
      </w:r>
    </w:p>
    <w:p w:rsidR="00413102" w:rsidRPr="00E67D60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2.4.1. К элементам сопряжения поверхностей обычно относят различные виды бортовых камней, пандусы, ступени, лестницы.</w:t>
      </w:r>
    </w:p>
    <w:p w:rsidR="00413102" w:rsidRPr="00E67D60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67D60">
        <w:rPr>
          <w:rFonts w:ascii="Arial" w:hAnsi="Arial" w:cs="Arial"/>
          <w:i/>
          <w:sz w:val="24"/>
          <w:szCs w:val="24"/>
        </w:rPr>
        <w:t>Бортовые камни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2.4.2. На стыке тротуара и проезжей части, как правило, следует устанавливать дорожные бортовые камни. Бортовые камни рекомендуется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улицах, а также площадках автостоянок при крупных объектах обслуживания.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2.4.3.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413102" w:rsidRPr="00E67D60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67D60">
        <w:rPr>
          <w:rFonts w:ascii="Arial" w:hAnsi="Arial" w:cs="Arial"/>
          <w:i/>
          <w:sz w:val="24"/>
          <w:szCs w:val="24"/>
        </w:rPr>
        <w:t>Ступени, лестницы, пандусы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2.4.4. При уклонах пешеходных коммуникаций более 6% предусматривается 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2.4.5. При проектировании открытых лестниц на перепадах рельефа высоту ступеней рекомендуется назначать не более 120 мм, ширину - не менее 400 мм и уклон 1-2% в сторону вышележащей ступени. После каждых 10-12 ступеней рекомендуется устраивать площадки длиной не менее 1,5 м. Край первых ступеней лестниц при спуске и подъеме рекомендуется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E67D60">
        <w:rPr>
          <w:rFonts w:ascii="Arial" w:hAnsi="Arial" w:cs="Arial"/>
          <w:sz w:val="24"/>
          <w:szCs w:val="24"/>
        </w:rPr>
        <w:t>одинаковыми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по ширине и высоте подъема ступеней. При проектировании лестниц в условиях реконструкции сложившихся территорий  высота ступеней может быть увеличена до 150 мм, а ширина ступеней и длина площадки - уменьшена до 300 мм и 1,0 м соответственно.</w:t>
      </w:r>
    </w:p>
    <w:p w:rsidR="00413102" w:rsidRPr="00E67D60" w:rsidRDefault="00413102" w:rsidP="00413102">
      <w:pPr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E67D60">
        <w:rPr>
          <w:rFonts w:ascii="Arial" w:hAnsi="Arial" w:cs="Arial"/>
          <w:b/>
          <w:bCs/>
          <w:i/>
          <w:sz w:val="24"/>
          <w:szCs w:val="24"/>
        </w:rPr>
        <w:t>2.5. Ограждения.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2.5.1. </w:t>
      </w:r>
      <w:proofErr w:type="gramStart"/>
      <w:r w:rsidRPr="00E67D60">
        <w:rPr>
          <w:rFonts w:ascii="Arial" w:hAnsi="Arial" w:cs="Arial"/>
          <w:sz w:val="24"/>
          <w:szCs w:val="24"/>
        </w:rPr>
        <w:t>В целях благоустройства на территории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- 0,3-1,0 м, средние - 1,1-1,7 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2.5.2. Проектирование ограждений рекомендуется производить в зависимости от их местоположения и назначения согласно </w:t>
      </w:r>
      <w:proofErr w:type="spellStart"/>
      <w:r w:rsidRPr="00E67D60">
        <w:rPr>
          <w:rFonts w:ascii="Arial" w:hAnsi="Arial" w:cs="Arial"/>
          <w:sz w:val="24"/>
          <w:szCs w:val="24"/>
        </w:rPr>
        <w:t>ГОСТам</w:t>
      </w:r>
      <w:proofErr w:type="spellEnd"/>
      <w:r w:rsidRPr="00E67D60">
        <w:rPr>
          <w:rFonts w:ascii="Arial" w:hAnsi="Arial" w:cs="Arial"/>
          <w:sz w:val="24"/>
          <w:szCs w:val="24"/>
        </w:rPr>
        <w:t>, каталогам сертифицированных изделий, проектам индивидуального проектирования.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2.5.3. 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2.5.4. На территориях общественного, жилого, рекреационного назначения не рекомендуется проектирование глухих и железобетонных ограждений. Рекомендуется применение декоративных металлических ограждений.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2.5.5. Рекомендуется предусматривать размещение защитных металлических ограждений высотой не менее 0,5 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E67D60">
        <w:rPr>
          <w:rFonts w:ascii="Arial" w:hAnsi="Arial" w:cs="Arial"/>
          <w:sz w:val="24"/>
          <w:szCs w:val="24"/>
        </w:rPr>
        <w:t>вытаптывания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троп через газон. Ограждения рекомендуется размещать на территории газона с отступом от границы примыкания порядка 0,2-0,3 м.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2.5.6.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 м и более, диаметром 0,8 м и более в зависимости от возраста, породы дерева и прочих характеристик.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2.5.7. Запрещается использование ограждений, установленных на магистральных улицах, для расклеивания, размещения, крепления афиш, объявлений, иной  информации, в том числе рекламной.</w:t>
      </w:r>
    </w:p>
    <w:p w:rsidR="00413102" w:rsidRPr="00E67D60" w:rsidRDefault="00413102" w:rsidP="00413102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E67D60">
        <w:rPr>
          <w:rFonts w:ascii="Arial" w:hAnsi="Arial" w:cs="Arial"/>
          <w:b/>
          <w:bCs/>
          <w:i/>
          <w:sz w:val="24"/>
          <w:szCs w:val="24"/>
        </w:rPr>
        <w:t>2.6. Малые архитектурные формы.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2.6.1. К малым архитектурным формам (МАФ) относятся: элементы монументально-декоративного оформления, устройства для оформления мобильного и </w:t>
      </w:r>
      <w:hyperlink r:id="rId4" w:anchor="3" w:history="1">
        <w:r w:rsidRPr="00E67D6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вертикального озеленения</w:t>
        </w:r>
      </w:hyperlink>
      <w:r w:rsidRPr="00E67D60">
        <w:rPr>
          <w:rFonts w:ascii="Arial" w:hAnsi="Arial" w:cs="Arial"/>
          <w:sz w:val="24"/>
          <w:szCs w:val="24"/>
        </w:rPr>
        <w:t xml:space="preserve">, водные устройства, городская мебель, коммунально-бытовое и техническое оборудование на территории города Курска. 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2.6.2. Запрещается использование малых архитектурных форм для  размещения, крепления афиш, объявлений, иной  информации, в том числе рекламной.</w:t>
      </w: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Устройства для оформления озеленения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2.6.3.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 w:rsidRPr="00E67D60">
        <w:rPr>
          <w:rFonts w:ascii="Arial" w:hAnsi="Arial" w:cs="Arial"/>
          <w:sz w:val="24"/>
          <w:szCs w:val="24"/>
        </w:rPr>
        <w:t>перголы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E67D60">
        <w:rPr>
          <w:rFonts w:ascii="Arial" w:hAnsi="Arial" w:cs="Arial"/>
          <w:sz w:val="24"/>
          <w:szCs w:val="24"/>
        </w:rPr>
        <w:t>Пергола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- легкое решетчатое сооружение из дерева или металла в виде беседки, галереи или навеса, используется как «зеленый тоннель»,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413102" w:rsidRPr="00E67D60" w:rsidRDefault="00413102" w:rsidP="00413102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Водные устройства</w:t>
      </w:r>
    </w:p>
    <w:p w:rsidR="00413102" w:rsidRPr="00E67D60" w:rsidRDefault="00413102" w:rsidP="00413102">
      <w:pPr>
        <w:spacing w:after="0" w:line="240" w:lineRule="auto"/>
        <w:ind w:firstLine="708"/>
        <w:outlineLvl w:val="2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2.6.4.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2.6.5. Качество воды в родниках на территории должно контролироваться в плановом порядке. На особо охраняемых территориях природного комплекса для обустройства родников требуется согласие уполномоченных органов природопользования и охраны окружающей среды. Родники должны быть оборудованы подходом 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413102" w:rsidRPr="00E67D60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2.6.6.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рекомендуется делать гладким, удобным для очистки. Рекомендуется использование приемов цветового и светового оформления.</w:t>
      </w:r>
    </w:p>
    <w:p w:rsidR="00413102" w:rsidRPr="00E67D60" w:rsidRDefault="00413102" w:rsidP="00413102">
      <w:pPr>
        <w:pStyle w:val="3"/>
        <w:shd w:val="clear" w:color="auto" w:fill="FFFFFF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E67D6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Уличное коммунально-бытовое оборудование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2.6.7. Уличное коммунально-бытовое оборудование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</w:t>
      </w:r>
      <w:proofErr w:type="spellStart"/>
      <w:r w:rsidRPr="00E67D60">
        <w:rPr>
          <w:rFonts w:ascii="Arial" w:hAnsi="Arial" w:cs="Arial"/>
          <w:sz w:val="24"/>
          <w:szCs w:val="24"/>
        </w:rPr>
        <w:t>экологичность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, безопасность (отсутствие острых углов), удобство в пользовании, легкость очистки, привлекательный внешний вид. Установка уличного коммунально-бытового оборудования должна осуществляться на твердые виды покрытия или фундамент. В зонах отдыха, лесопарках, детских </w:t>
      </w:r>
      <w:r w:rsidRPr="00E67D60">
        <w:rPr>
          <w:rFonts w:ascii="Arial" w:hAnsi="Arial" w:cs="Arial"/>
          <w:sz w:val="24"/>
          <w:szCs w:val="24"/>
        </w:rPr>
        <w:lastRenderedPageBreak/>
        <w:t>площадках может допускаться установка уличного коммунально-бытового оборудования  на мягкие виды покрытия.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2.6.8. Для сбора бытового мусора на улицах, площадях применяются малогабаритные (малые) контейнеры (менее 0,5 куб</w:t>
      </w:r>
      <w:proofErr w:type="gramStart"/>
      <w:r w:rsidRPr="00E67D60">
        <w:rPr>
          <w:rFonts w:ascii="Arial" w:hAnsi="Arial" w:cs="Arial"/>
          <w:sz w:val="24"/>
          <w:szCs w:val="24"/>
        </w:rPr>
        <w:t>.м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) и (или) урны, устанавливаемые у входов: в объекты торговли и общественного питания, другие учреждения общественного назначения, жилые дома и сооружения транспорта. 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60 м, других территориях  - не более 100 м.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Малые контейнеры и урны устанавливаются у скамей, нестационарных (некапитальных)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2.6.9. Собственники объектов, указанных  в пункте 2.6.11 настоящих правил, обязаны обеспечить установку контейнеров и урн, их надлежащее содержание, своевременную уборку, не допуская их переполнение и загрязнение территории.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Уличное техническое оборудование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2.6.10. К уличному техническому оборудованию относятся: укрытия таксофонов, почтовые ящики, автоматы по продаже воды и др., элементы инженерного оборудования (подъемные площадки для инвалидных колясок, смотровые люки, решетки </w:t>
      </w:r>
      <w:proofErr w:type="spellStart"/>
      <w:r w:rsidRPr="00E67D60">
        <w:rPr>
          <w:rFonts w:ascii="Arial" w:hAnsi="Arial" w:cs="Arial"/>
          <w:sz w:val="24"/>
          <w:szCs w:val="24"/>
        </w:rPr>
        <w:t>дождеприемных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колодцев, вентиляционные шахты подземных коммуникаций, шкафы телефонной связи и т.п.).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2.6.11. Установка уличного технического оборудования должна обеспечивать удобный подход к оборудованию и соответствовать разделу 3 </w:t>
      </w:r>
      <w:proofErr w:type="spellStart"/>
      <w:r w:rsidRPr="00E67D60">
        <w:rPr>
          <w:rFonts w:ascii="Arial" w:hAnsi="Arial" w:cs="Arial"/>
          <w:sz w:val="24"/>
          <w:szCs w:val="24"/>
        </w:rPr>
        <w:t>СНиП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59/13330/2012.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2.6.12.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рекомендуется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Кроме этого, рекомендуется не менее одного из таксофонов (или одного в каждом ряду) устанавливать на такой высоте, чтобы уровень щели </w:t>
      </w:r>
      <w:proofErr w:type="spellStart"/>
      <w:r w:rsidRPr="00E67D60">
        <w:rPr>
          <w:rFonts w:ascii="Arial" w:hAnsi="Arial" w:cs="Arial"/>
          <w:sz w:val="24"/>
          <w:szCs w:val="24"/>
        </w:rPr>
        <w:t>монетоприемника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от покрытия составлял 1,3 м; уровень приемного отверстия почтового ящика рекомендуется располагать от уровня покрытия на высоте 1,3 м.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2.6.13. </w:t>
      </w:r>
      <w:proofErr w:type="gramStart"/>
      <w:r w:rsidRPr="00E67D60">
        <w:rPr>
          <w:rFonts w:ascii="Arial" w:hAnsi="Arial" w:cs="Arial"/>
          <w:sz w:val="24"/>
          <w:szCs w:val="24"/>
        </w:rPr>
        <w:t>Рекомендуется выполнять оформление элементов инженерного оборудования, не нарушающих уровень благоустройства формируемой среды, ухудшающих условия передвижения, противоречащей техническим условиям, в том числе:</w:t>
      </w:r>
      <w:proofErr w:type="gramEnd"/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крышки люков смотровых колодцев, расположенных на территории пешеходных коммуникаций (в т.ч. уличных переходов), следует проектировать, как правило, в одном уровне с покрытием прилегающей поверхности, в ином случае перепад отметок не превышающий 20 мм, а зазоры между краем люка и покрытием тротуара - не более 15 мм;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вентиляционные шахты оборудовать решетками.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2.6.14. Уличное техническое оборудование  устанавливается только на твердые виды покрытия или фундамент. Установка на мягкие виды покрытий не допускается.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lastRenderedPageBreak/>
        <w:t>2.6.15. Установка уличного технического оборудования на газонах, клумбах, цветниках запрещена.</w:t>
      </w: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E67D60">
        <w:rPr>
          <w:rFonts w:ascii="Arial" w:hAnsi="Arial" w:cs="Arial"/>
          <w:b/>
          <w:bCs/>
          <w:i/>
          <w:sz w:val="24"/>
          <w:szCs w:val="24"/>
        </w:rPr>
        <w:t>2.7. Игровое и спортивное оборудование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2.7.1. Игровое и спортивное оборудование на территории 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 групп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2.7.2.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2.7.3. Рекомендуется предусматривать следующие требования к материалу игрового оборудования и условиям его обработки: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деревянное оборудование, выполненное из твердых пород дерева со специальной обработкой, предотвращающей гниение, усыхание, возгорание, сколы, отполированное, острые углы закруглены;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- металл следует применять преимущественно для несущих конструкций оборудования, которые должны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E67D60">
        <w:rPr>
          <w:rFonts w:ascii="Arial" w:hAnsi="Arial" w:cs="Arial"/>
          <w:sz w:val="24"/>
          <w:szCs w:val="24"/>
        </w:rPr>
        <w:t>металлопластик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(не травмирует, не ржавеет, морозоустойчив);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2.7.4. В требованиях к конструкциям игрового оборудования рекомендуется исключать острые углы, </w:t>
      </w:r>
      <w:proofErr w:type="spellStart"/>
      <w:r w:rsidRPr="00E67D60">
        <w:rPr>
          <w:rFonts w:ascii="Arial" w:hAnsi="Arial" w:cs="Arial"/>
          <w:sz w:val="24"/>
          <w:szCs w:val="24"/>
        </w:rPr>
        <w:t>застревание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 м необходимо предусматривать возможность доступа внутрь в виде отверстий (не менее двух) диаметром не менее 500 мм.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2.7.5. Установлены следующие минимальные расстояния безопасности при размещении игрового оборудования на детских игровых площадках:</w:t>
      </w:r>
    </w:p>
    <w:tbl>
      <w:tblPr>
        <w:tblW w:w="0" w:type="auto"/>
        <w:tblCellSpacing w:w="15" w:type="dxa"/>
        <w:tblLook w:val="00A0"/>
      </w:tblPr>
      <w:tblGrid>
        <w:gridCol w:w="2103"/>
        <w:gridCol w:w="7342"/>
      </w:tblGrid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D60">
              <w:rPr>
                <w:rFonts w:ascii="Arial" w:hAnsi="Arial" w:cs="Arial"/>
                <w:bCs/>
                <w:sz w:val="24"/>
                <w:szCs w:val="24"/>
              </w:rPr>
              <w:t xml:space="preserve">Игровое оборудование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7D60">
              <w:rPr>
                <w:rFonts w:ascii="Arial" w:hAnsi="Arial" w:cs="Arial"/>
                <w:bCs/>
                <w:sz w:val="24"/>
                <w:szCs w:val="24"/>
              </w:rPr>
              <w:t xml:space="preserve">Минимальные расстояния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Качели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не менее 1,5 м в стороны от боковых конструкций и не менее 2,0 м вперед (назад) от крайних точек качели в состоянии наклона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Качалки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не менее 1,0 м в стороны от боковых конструкций и не менее 1,5 м вперед от крайних точек качалки в состоянии наклона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Карусели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не менее 2 м в стороны от боковых конструкций и не менее 3 м вверх от нижней вращающейся поверхности карусели </w:t>
            </w:r>
          </w:p>
        </w:tc>
      </w:tr>
      <w:tr w:rsidR="00413102" w:rsidRPr="00E67D60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Горки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E67D60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7D60">
              <w:rPr>
                <w:rFonts w:ascii="Arial" w:hAnsi="Arial" w:cs="Arial"/>
                <w:sz w:val="24"/>
                <w:szCs w:val="24"/>
              </w:rPr>
              <w:t xml:space="preserve">не менее 1 м от боковых сторон и 2 м вперед от нижнего края ската горки. </w:t>
            </w:r>
          </w:p>
        </w:tc>
      </w:tr>
    </w:tbl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В пределах указанных расстояний на участках территории площадки не допускается размещения других видов игрового оборудования, скамей, урн, </w:t>
      </w:r>
      <w:r w:rsidRPr="00E67D60">
        <w:rPr>
          <w:rFonts w:ascii="Arial" w:hAnsi="Arial" w:cs="Arial"/>
          <w:sz w:val="24"/>
          <w:szCs w:val="24"/>
        </w:rPr>
        <w:lastRenderedPageBreak/>
        <w:t xml:space="preserve">бортовых камней и твердых видов покрытия, а также веток, стволов, корней деревьев.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2.7.6. 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следует руководствоваться каталогами сертифицированного оборудования.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E67D60">
        <w:rPr>
          <w:rFonts w:ascii="Arial" w:hAnsi="Arial" w:cs="Arial"/>
          <w:b/>
          <w:bCs/>
          <w:i/>
          <w:sz w:val="24"/>
          <w:szCs w:val="24"/>
        </w:rPr>
        <w:t>2.8. Освещение и осветительное оборудование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2.8.1. В различных градостроительных условиях рекомендуется предусматривать функциональное, архитектурное и информационное освещение с целью решения утилитарных, </w:t>
      </w:r>
      <w:proofErr w:type="spellStart"/>
      <w:r w:rsidRPr="00E67D60">
        <w:rPr>
          <w:rFonts w:ascii="Arial" w:hAnsi="Arial" w:cs="Arial"/>
          <w:sz w:val="24"/>
          <w:szCs w:val="24"/>
        </w:rPr>
        <w:t>светопланировочных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67D60">
        <w:rPr>
          <w:rFonts w:ascii="Arial" w:hAnsi="Arial" w:cs="Arial"/>
          <w:sz w:val="24"/>
          <w:szCs w:val="24"/>
        </w:rPr>
        <w:t>светокомпозиционных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задач, в т.ч. при необходимости светоцветового зонирования территорий  и формирования системы </w:t>
      </w:r>
      <w:proofErr w:type="spellStart"/>
      <w:r w:rsidRPr="00E67D60">
        <w:rPr>
          <w:rFonts w:ascii="Arial" w:hAnsi="Arial" w:cs="Arial"/>
          <w:sz w:val="24"/>
          <w:szCs w:val="24"/>
        </w:rPr>
        <w:t>светопространственных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ансамблей.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2.8.2. При проектировании каждой из трех основных групп осветительных установок (функционального, архитектурного освещения, световой информации) рекомендуется обеспечивать: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 w:rsidRPr="00E67D60">
        <w:rPr>
          <w:rFonts w:ascii="Arial" w:hAnsi="Arial" w:cs="Arial"/>
          <w:sz w:val="24"/>
          <w:szCs w:val="24"/>
        </w:rPr>
        <w:t>СНиП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23-05);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- экономичность и </w:t>
      </w:r>
      <w:proofErr w:type="spellStart"/>
      <w:r w:rsidRPr="00E67D60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E67D60">
        <w:rPr>
          <w:rFonts w:ascii="Arial" w:hAnsi="Arial" w:cs="Arial"/>
          <w:bCs/>
          <w:sz w:val="24"/>
          <w:szCs w:val="24"/>
        </w:rPr>
        <w:t>Функциональное освещение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2.8.3.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E67D60">
        <w:rPr>
          <w:rFonts w:ascii="Arial" w:hAnsi="Arial" w:cs="Arial"/>
          <w:sz w:val="24"/>
          <w:szCs w:val="24"/>
        </w:rPr>
        <w:t>ств в тр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анспортных и пешеходных зонах, дворовых и иных территорий. Установки ФО, как правило, подразделяют </w:t>
      </w:r>
      <w:proofErr w:type="gramStart"/>
      <w:r w:rsidRPr="00E67D60">
        <w:rPr>
          <w:rFonts w:ascii="Arial" w:hAnsi="Arial" w:cs="Arial"/>
          <w:sz w:val="24"/>
          <w:szCs w:val="24"/>
        </w:rPr>
        <w:t>на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обычные, </w:t>
      </w:r>
      <w:proofErr w:type="spellStart"/>
      <w:r w:rsidRPr="00E67D60">
        <w:rPr>
          <w:rFonts w:ascii="Arial" w:hAnsi="Arial" w:cs="Arial"/>
          <w:sz w:val="24"/>
          <w:szCs w:val="24"/>
        </w:rPr>
        <w:t>высокомачтовые</w:t>
      </w:r>
      <w:proofErr w:type="spellEnd"/>
      <w:r w:rsidRPr="00E67D60">
        <w:rPr>
          <w:rFonts w:ascii="Arial" w:hAnsi="Arial" w:cs="Arial"/>
          <w:sz w:val="24"/>
          <w:szCs w:val="24"/>
        </w:rPr>
        <w:t>, парапетные, газонные и встроенные.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2.8.4. В обычных установках светильники рекомендуется располагать на опорах (венчающие, консольные), подвесах или фасадах (бра, плафоны) на высоте от 3 до 15 м. Их рекомендуется применять в транспортных и пешеходных зонах</w:t>
      </w:r>
      <w:proofErr w:type="gramStart"/>
      <w:r w:rsidRPr="00E67D6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дворовых территориях как наиболее традиционные.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2.8.5. В </w:t>
      </w:r>
      <w:proofErr w:type="spellStart"/>
      <w:r w:rsidRPr="00E67D60">
        <w:rPr>
          <w:rFonts w:ascii="Arial" w:hAnsi="Arial" w:cs="Arial"/>
          <w:sz w:val="24"/>
          <w:szCs w:val="24"/>
        </w:rPr>
        <w:t>высокомачтовых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установках осветительные приборы (прожекторы или светильники) рекомендуется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2.8.6. В парапетных установках светильники рекомендуется встраивать линией или пунктиром в парапет высотой до 1,2 метров, ограждающий проезжую часть путепроводов, мостов, эстакад, пандусов, развязок, а также тротуары и площадки. Их применение рекомендуется обосновать технико-экономическими и (или) художественными аргументами.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lastRenderedPageBreak/>
        <w:t>2.8.7.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2.8.8. Собственники зданий, строений, сооружений, правообладатели земельных участков обязаны обеспечить их функциональное освещение объектов и земельных участков. Восстановление вышедших из строя объектов функционального освещения осуществляется указанными лицами не долее чем в 3-х </w:t>
      </w:r>
      <w:proofErr w:type="spellStart"/>
      <w:r w:rsidRPr="00E67D60">
        <w:rPr>
          <w:rFonts w:ascii="Arial" w:hAnsi="Arial" w:cs="Arial"/>
          <w:sz w:val="24"/>
          <w:szCs w:val="24"/>
        </w:rPr>
        <w:t>дневный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срок.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Архитектурное освещение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2.8.9. Архитектурное освещение (АО) рекомендуется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ансамблей, иных зданий, строений, сооружений.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2.8.10. 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E67D60">
        <w:rPr>
          <w:rFonts w:ascii="Arial" w:hAnsi="Arial" w:cs="Arial"/>
          <w:sz w:val="24"/>
          <w:szCs w:val="24"/>
        </w:rPr>
        <w:t>светографические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E67D60">
        <w:rPr>
          <w:rFonts w:ascii="Arial" w:hAnsi="Arial" w:cs="Arial"/>
          <w:sz w:val="24"/>
          <w:szCs w:val="24"/>
        </w:rPr>
        <w:t>световодов</w:t>
      </w:r>
      <w:proofErr w:type="spellEnd"/>
      <w:r w:rsidRPr="00E67D60">
        <w:rPr>
          <w:rFonts w:ascii="Arial" w:hAnsi="Arial" w:cs="Arial"/>
          <w:sz w:val="24"/>
          <w:szCs w:val="24"/>
        </w:rPr>
        <w:t>, световые проекции, лазерные рисунки и т.п.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2.8.11.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2.8.12. Объекты капитального строительства должны быть обеспечены фасадным архитектурным освещением по проекту. Данное требование не распространяется на многоквартирные жилые дома.</w:t>
      </w: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Световая информация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2.8.13. Световая информация (СИ), в том числе, световая реклама, как правило,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 w:rsidRPr="00E67D60">
        <w:rPr>
          <w:rFonts w:ascii="Arial" w:hAnsi="Arial" w:cs="Arial"/>
          <w:sz w:val="24"/>
          <w:szCs w:val="24"/>
        </w:rPr>
        <w:t>светокомпозиционных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Источники света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2.8.14. В стационарных установках ФО и АО рекомендуется применять </w:t>
      </w:r>
      <w:proofErr w:type="spellStart"/>
      <w:r w:rsidRPr="00E67D60">
        <w:rPr>
          <w:rFonts w:ascii="Arial" w:hAnsi="Arial" w:cs="Arial"/>
          <w:sz w:val="24"/>
          <w:szCs w:val="24"/>
        </w:rPr>
        <w:t>энергоэффективные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2.8.15. Источники света в установках ФО рекомендуется выбирать с учетом требований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2.8.16. 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эффект, создаваемый совместным </w:t>
      </w:r>
      <w:r w:rsidRPr="00E67D60">
        <w:rPr>
          <w:rFonts w:ascii="Arial" w:hAnsi="Arial" w:cs="Arial"/>
          <w:sz w:val="24"/>
          <w:szCs w:val="24"/>
        </w:rPr>
        <w:lastRenderedPageBreak/>
        <w:t>действием осветительных установок всех групп, особенно с хроматическим светом, функционирующих в конкретном пространстве населенного пункта или световом ансамбле.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Освещение транспортных и пешеходных зон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2.8.17. В установках ФО транспортных и </w:t>
      </w:r>
      <w:hyperlink r:id="rId5" w:anchor="7" w:history="1">
        <w:r w:rsidRPr="00E67D6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пешеходных зон</w:t>
        </w:r>
      </w:hyperlink>
      <w:r w:rsidRPr="00E67D60">
        <w:rPr>
          <w:rFonts w:ascii="Arial" w:hAnsi="Arial" w:cs="Arial"/>
          <w:sz w:val="24"/>
          <w:szCs w:val="24"/>
        </w:rPr>
        <w:t xml:space="preserve"> рекомендуется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E67D60">
        <w:rPr>
          <w:rFonts w:ascii="Arial" w:hAnsi="Arial" w:cs="Arial"/>
          <w:sz w:val="24"/>
          <w:szCs w:val="24"/>
        </w:rPr>
        <w:t>светораспределением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2.8.18. Для освещения проезжей части улиц и сопутствующих им тротуаров рекомендуется в зонах интенсивного пешеходного движения применять </w:t>
      </w:r>
      <w:proofErr w:type="spellStart"/>
      <w:r w:rsidRPr="00E67D60">
        <w:rPr>
          <w:rFonts w:ascii="Arial" w:hAnsi="Arial" w:cs="Arial"/>
          <w:sz w:val="24"/>
          <w:szCs w:val="24"/>
        </w:rPr>
        <w:t>двухконсольные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E67D60">
        <w:rPr>
          <w:rFonts w:ascii="Arial" w:hAnsi="Arial" w:cs="Arial"/>
          <w:sz w:val="24"/>
          <w:szCs w:val="24"/>
        </w:rPr>
        <w:t>разноспектральными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источниками света.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2.8.19.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</w:r>
      <w:proofErr w:type="spellStart"/>
      <w:r w:rsidRPr="00E67D60">
        <w:rPr>
          <w:rFonts w:ascii="Arial" w:hAnsi="Arial" w:cs="Arial"/>
          <w:sz w:val="24"/>
          <w:szCs w:val="24"/>
        </w:rPr>
        <w:t>светопространств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67D60">
        <w:rPr>
          <w:rFonts w:ascii="Arial" w:hAnsi="Arial" w:cs="Arial"/>
          <w:sz w:val="24"/>
          <w:szCs w:val="24"/>
        </w:rPr>
        <w:t>Над проезжей частью улиц, дорог и площадей светильники на опорах рекомендуется устанавливать на высоте не менее 8 м. В пешеходных зонах высота установки светильников на опорах может приниматься, как правило, не менее 3,5 м и не более 5,5 м. Светильники (бра, плафоны) для освещения проездов, тротуаров и площадок, расположенных у зданий, рекомендуется устанавливать на высоте не менее 3 м.</w:t>
      </w:r>
      <w:proofErr w:type="gramEnd"/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2.8.20. </w:t>
      </w:r>
      <w:proofErr w:type="gramStart"/>
      <w:r w:rsidRPr="00E67D60">
        <w:rPr>
          <w:rFonts w:ascii="Arial" w:hAnsi="Arial" w:cs="Arial"/>
          <w:sz w:val="24"/>
          <w:szCs w:val="24"/>
        </w:rPr>
        <w:t>Опоры уличных светильников для освещения проезжей части магистральных улиц (общегородских и районных) могут располагаться на расстоянии не менее 0,6 м от лицевой грани бортового камня до цоколя опоры, на уличной сети местного значения это расстояние допускается уменьшать до 0,3 м при условии отсутствия автобусного или троллейбусного движения, а также регулярного движения грузовых машин.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Следует учитывать, что опора не должна находиться между пожарным гидрантом и проезжей частью улиц и дорог.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2.8.21. Опоры на пересечениях магистральных улиц и дорог, как правило, устанавливаются до начала закругления тротуаров и не ближе 1,5 м от различного рода въездов, не нарушая единого строя линии их установки.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Режимы работы осветительных установок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2.8.22.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приборов, допускаемая нормами освещенности;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2.8.23. Включение всех групп осветительных установок независимо от их ведомственной принадлежности может производиться вечером при снижении </w:t>
      </w:r>
      <w:r w:rsidRPr="00E67D60">
        <w:rPr>
          <w:rFonts w:ascii="Arial" w:hAnsi="Arial" w:cs="Arial"/>
          <w:sz w:val="24"/>
          <w:szCs w:val="24"/>
        </w:rPr>
        <w:lastRenderedPageBreak/>
        <w:t>уровня естественной освещенности до 20 лк. Отключение рекомендуется производить: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- установок АО - в соответствии с правовыми актами, </w:t>
      </w:r>
      <w:proofErr w:type="gramStart"/>
      <w:r w:rsidRPr="00E67D60">
        <w:rPr>
          <w:rFonts w:ascii="Arial" w:hAnsi="Arial" w:cs="Arial"/>
          <w:sz w:val="24"/>
          <w:szCs w:val="24"/>
        </w:rPr>
        <w:t>которая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(вокзалы, градостроительные доминанты, и т.п.) установки АО могут функционировать от заката до рассвета;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установок СИ - по решению соответствующих ведомств или владельцев.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E67D60">
        <w:rPr>
          <w:rFonts w:ascii="Arial" w:hAnsi="Arial" w:cs="Arial"/>
          <w:b/>
          <w:bCs/>
          <w:i/>
          <w:sz w:val="24"/>
          <w:szCs w:val="24"/>
        </w:rPr>
        <w:t xml:space="preserve">2.9. Наружная реклама  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2.9.1. </w:t>
      </w:r>
      <w:proofErr w:type="gramStart"/>
      <w:r w:rsidRPr="00E67D60">
        <w:rPr>
          <w:rFonts w:ascii="Arial" w:hAnsi="Arial" w:cs="Arial"/>
          <w:sz w:val="24"/>
          <w:szCs w:val="24"/>
        </w:rPr>
        <w:t>Р</w:t>
      </w:r>
      <w:r w:rsidRPr="00E67D60">
        <w:rPr>
          <w:rFonts w:ascii="Arial" w:hAnsi="Arial" w:cs="Arial"/>
          <w:iCs/>
          <w:sz w:val="24"/>
          <w:szCs w:val="24"/>
        </w:rPr>
        <w:t xml:space="preserve">аспространение наружной рекламы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 осуществляется владельцем рекламной конструкции, являющимся </w:t>
      </w:r>
      <w:proofErr w:type="spellStart"/>
      <w:r w:rsidRPr="00E67D60">
        <w:rPr>
          <w:rFonts w:ascii="Arial" w:hAnsi="Arial" w:cs="Arial"/>
          <w:iCs/>
          <w:sz w:val="24"/>
          <w:szCs w:val="24"/>
        </w:rPr>
        <w:t>рекламораспространителем</w:t>
      </w:r>
      <w:proofErr w:type="spellEnd"/>
      <w:r w:rsidRPr="00E67D60">
        <w:rPr>
          <w:rFonts w:ascii="Arial" w:hAnsi="Arial" w:cs="Arial"/>
          <w:iCs/>
          <w:sz w:val="24"/>
          <w:szCs w:val="24"/>
        </w:rPr>
        <w:t>, при наличии разрешения на установку</w:t>
      </w:r>
      <w:proofErr w:type="gramEnd"/>
      <w:r w:rsidRPr="00E67D60">
        <w:rPr>
          <w:rFonts w:ascii="Arial" w:hAnsi="Arial" w:cs="Arial"/>
          <w:iCs/>
          <w:sz w:val="24"/>
          <w:szCs w:val="24"/>
        </w:rPr>
        <w:t xml:space="preserve"> рекламной конструкции, выданного Администрацией Горшеченского района.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67D60">
        <w:rPr>
          <w:rFonts w:ascii="Arial" w:hAnsi="Arial" w:cs="Arial"/>
          <w:iCs/>
          <w:sz w:val="24"/>
          <w:szCs w:val="24"/>
        </w:rPr>
        <w:t xml:space="preserve">2.9.2. При присоединении рекламных конструкций к фасадам зданий  должны быть соблюдены ограничения и требования к содержанию зданий и фасадов, установленные настоящими Правилами.  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iCs/>
          <w:sz w:val="24"/>
          <w:szCs w:val="24"/>
        </w:rPr>
        <w:t xml:space="preserve">2.9.3. При  размещении рекламной конструкции </w:t>
      </w:r>
      <w:r w:rsidRPr="00E67D60">
        <w:rPr>
          <w:rFonts w:ascii="Arial" w:hAnsi="Arial" w:cs="Arial"/>
          <w:sz w:val="24"/>
          <w:szCs w:val="24"/>
        </w:rPr>
        <w:t xml:space="preserve"> на земельном участке</w:t>
      </w:r>
      <w:r w:rsidRPr="00E67D60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E67D60">
        <w:rPr>
          <w:rFonts w:ascii="Arial" w:hAnsi="Arial" w:cs="Arial"/>
          <w:iCs/>
          <w:sz w:val="24"/>
          <w:szCs w:val="24"/>
        </w:rPr>
        <w:t>рекламораспространителем</w:t>
      </w:r>
      <w:proofErr w:type="spellEnd"/>
      <w:r w:rsidRPr="00E67D60">
        <w:rPr>
          <w:rFonts w:ascii="Arial" w:hAnsi="Arial" w:cs="Arial"/>
          <w:iCs/>
          <w:sz w:val="24"/>
          <w:szCs w:val="24"/>
        </w:rPr>
        <w:t>,</w:t>
      </w:r>
      <w:r w:rsidRPr="00E67D60">
        <w:rPr>
          <w:rFonts w:ascii="Arial" w:hAnsi="Arial" w:cs="Arial"/>
          <w:sz w:val="24"/>
          <w:szCs w:val="24"/>
        </w:rPr>
        <w:t xml:space="preserve"> должно быть обеспечено благоустройство территории в радиусе не менее 10 метров от места  размещения рекламной конструкции.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2.9.4. Ответственность за выполнение пунктов 2.9.2, 2.9.3, несут </w:t>
      </w:r>
      <w:proofErr w:type="spellStart"/>
      <w:r w:rsidRPr="00E67D60">
        <w:rPr>
          <w:rFonts w:ascii="Arial" w:hAnsi="Arial" w:cs="Arial"/>
          <w:sz w:val="24"/>
          <w:szCs w:val="24"/>
        </w:rPr>
        <w:t>рекламораспространители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и собственники имущества, к которому присоединена рекламная конструкция.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2.9.5. Размещение информации, в том числе рекламной, а также объявлений на зеленых насаждениях запрещено.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67D60">
        <w:rPr>
          <w:rFonts w:ascii="Arial" w:hAnsi="Arial" w:cs="Arial"/>
          <w:sz w:val="24"/>
          <w:szCs w:val="24"/>
        </w:rPr>
        <w:t>Ответственность за размещение объявлений и информации, в том числе рекламной, несет как лицо, непосредственно разместившее объявление или информацию, в том числе рекламную, так и лицо, в интересах которого размещены объявление или информация, в том числе рекламную.</w:t>
      </w:r>
      <w:proofErr w:type="gramEnd"/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E67D60">
        <w:rPr>
          <w:rFonts w:ascii="Arial" w:hAnsi="Arial" w:cs="Arial"/>
          <w:b/>
          <w:bCs/>
          <w:i/>
          <w:sz w:val="24"/>
          <w:szCs w:val="24"/>
        </w:rPr>
        <w:t>2.10. Нестационарные (некапитальные) сооружения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2.10.1. </w:t>
      </w:r>
      <w:proofErr w:type="gramStart"/>
      <w:r w:rsidRPr="00E67D60">
        <w:rPr>
          <w:rFonts w:ascii="Arial" w:hAnsi="Arial" w:cs="Arial"/>
          <w:sz w:val="24"/>
          <w:szCs w:val="24"/>
        </w:rPr>
        <w:t xml:space="preserve">Нестационарными </w:t>
      </w:r>
      <w:r w:rsidRPr="00E67D60">
        <w:rPr>
          <w:rFonts w:ascii="Arial" w:hAnsi="Arial" w:cs="Arial"/>
          <w:bCs/>
          <w:sz w:val="24"/>
          <w:szCs w:val="24"/>
        </w:rPr>
        <w:t>(некапитальными)</w:t>
      </w:r>
      <w:r w:rsidRPr="00E67D60">
        <w:rPr>
          <w:rFonts w:ascii="Arial" w:hAnsi="Arial" w:cs="Arial"/>
          <w:sz w:val="24"/>
          <w:szCs w:val="24"/>
        </w:rPr>
        <w:t xml:space="preserve"> являются сооружения, представляющие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передвижные (мобильные) сооружения – это киоски, павильоны, рекламные конструкции, остановочные павильоны, наземные туалетные кабины, гаражи, передвижные объекты потребительского рынка и иные аналогичные сооружения), не являющиеся объектами недвижимости, устанавливаемые на определенной территории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с учетом </w:t>
      </w:r>
      <w:proofErr w:type="gramStart"/>
      <w:r w:rsidRPr="00E67D60">
        <w:rPr>
          <w:rFonts w:ascii="Arial" w:hAnsi="Arial" w:cs="Arial"/>
          <w:sz w:val="24"/>
          <w:szCs w:val="24"/>
        </w:rPr>
        <w:t>возможности быстрого изменения характера использования данной территории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без несоразмерного ущерба назначению объектов при их перемещении, время функционирования которых на данном участке предварительно было определено владельцем земельного участка на ограниченный срок.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Отделочные материалы нестационарных (некапитальных) сооружений должны отвечать санитарно-гигиеническим требованиям, нормам </w:t>
      </w:r>
      <w:r w:rsidRPr="00E67D60">
        <w:rPr>
          <w:rFonts w:ascii="Arial" w:hAnsi="Arial" w:cs="Arial"/>
          <w:sz w:val="24"/>
          <w:szCs w:val="24"/>
        </w:rPr>
        <w:lastRenderedPageBreak/>
        <w:t xml:space="preserve">противопожарной безопасности, архитектурно-художественным требованиям дизайна и освещения, характеру сложившейся среды  и условиям долговременной эксплуатации. При остеклении витрин рекомендуется применять безосколочные, </w:t>
      </w:r>
      <w:proofErr w:type="spellStart"/>
      <w:r w:rsidRPr="00E67D60">
        <w:rPr>
          <w:rFonts w:ascii="Arial" w:hAnsi="Arial" w:cs="Arial"/>
          <w:sz w:val="24"/>
          <w:szCs w:val="24"/>
        </w:rPr>
        <w:t>ударостойкие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материалы,  безопасные упрочняющие многослойные пленочные покрытия, поликарбонатные стекла.</w:t>
      </w:r>
    </w:p>
    <w:p w:rsidR="00413102" w:rsidRPr="00E67D60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2.10.2. Нестационарные (некапитальные) сооружения не должны нарушать архитектурный облик, создавать препятствия для целостного визуального восприятия фасадов зданий, объектов благоустройства, памятников и монументов, доминантных объектов архитектуры. При размещении нестационарных (некапитальных) сооружений в границах охранных зон зарегистрированных памятников культурного наследия (природы) и в зонах особо охраняемых природных территорий города параметры сооружений (высота, ширина, протяженность), функциональное назначение и прочие условия их размещения должны согласовываться с уполномоченными органами охраны памятников, природопользования и охраны окружающей среды.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Размещение нестационарных (некапитальных) сооружений на территории,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 и благоустройство территории и застройки.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2.10.3. Не допускается размещение нестационарных (некапитальных) сооружений  в арках зданий, на газонах, площадках (детских, отдыха, спортивных, транспортных стоянок), посадочных площадках городского пассажирского транспорта, а также ближе 10 м от остановочных павильонов.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2.10.4. Не допускается размещение информации, в том числе рекламной, на нестационарных (некапитальных) объектах, за исключением вывесок хозяйствующих субъектов, осуществляющих предпринимательскую деятельность в нестационарных (некапитальных) объектах, с обязательной информацией, установленной Федеральным законом «О защите прав потребителей».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E67D60">
        <w:rPr>
          <w:rFonts w:ascii="Arial" w:hAnsi="Arial" w:cs="Arial"/>
          <w:b/>
          <w:bCs/>
          <w:i/>
          <w:sz w:val="24"/>
          <w:szCs w:val="24"/>
        </w:rPr>
        <w:t>2.11. Требования к оформлению и оборудованию зданий и сооружений, содержанию фасадов зданий.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2.11.1.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E67D60">
        <w:rPr>
          <w:rFonts w:ascii="Arial" w:hAnsi="Arial" w:cs="Arial"/>
          <w:sz w:val="24"/>
          <w:szCs w:val="24"/>
        </w:rPr>
        <w:t>отмостки</w:t>
      </w:r>
      <w:proofErr w:type="spellEnd"/>
      <w:r w:rsidRPr="00E67D60">
        <w:rPr>
          <w:rFonts w:ascii="Arial" w:hAnsi="Arial" w:cs="Arial"/>
          <w:sz w:val="24"/>
          <w:szCs w:val="24"/>
        </w:rPr>
        <w:t>, домовых знаков, защитных сеток, информационных и рекламных конструкций и т.п.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2.11.2. На зданиях и сооружения должны быть размещены  адресные указатели с наименованием улицы и номера домовладения. На многоквартирных жилых домах также должны быть установлены указатели номера подъезда и квартир.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2.11.3. Здания и сооружения должны находится в </w:t>
      </w:r>
      <w:proofErr w:type="gramStart"/>
      <w:r w:rsidRPr="00E67D60">
        <w:rPr>
          <w:rFonts w:ascii="Arial" w:hAnsi="Arial" w:cs="Arial"/>
          <w:sz w:val="24"/>
          <w:szCs w:val="24"/>
        </w:rPr>
        <w:t>архитектурном решении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, определённом при их проектировании.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Не допускается: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самовольно изменять цветовое решение фасадов;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размещать на фасадах зданий вдоль магистральных улиц кондиционеры и антенны-«тарелки», иные установки, за исключением размещения указанных объектов в помещениях, не имеющих стен на дворовые фасады;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размещать информационные и рекламные конструкции совокупной площадью более 10 % площади фасада (включая оконные проемы и витрины) на фасадах объектов коммерческого назначения;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lastRenderedPageBreak/>
        <w:t xml:space="preserve">размещать информационные и рекламные конструкции на торцевых (боковых) фасадах зданий и сооружений, имеющих </w:t>
      </w:r>
      <w:proofErr w:type="spellStart"/>
      <w:r w:rsidRPr="00E67D60">
        <w:rPr>
          <w:rFonts w:ascii="Arial" w:hAnsi="Arial" w:cs="Arial"/>
          <w:sz w:val="24"/>
          <w:szCs w:val="24"/>
        </w:rPr>
        <w:t>цвето-графическую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отделку, предусмотренную проектом здания;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рекламно-информационное оформление окон и витрин зданий и сооружений с наружной стороны фасада;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размещать входные группы зданий жилого и общественного назначения непосредственно с выходом на пешеходный тротуар, если при этом ширина пешеходной части тротуара станет менее ширины, предусмотренной Правилами землепользования и застройки  для данной категории дороги или улицы. При механизированных способах очистки тротуаров минимальную ширину тротуаров следует принимать 3 метра;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размещать на прилегающих к зданиям земельных участках нестационарные (некапитальные) сооружения, нарушающие архитектурный облик зданий, создающие препятствия для целостного восприятия фасадов зданий.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2.11.4. Для обеспечения поверхностного </w:t>
      </w:r>
      <w:proofErr w:type="spellStart"/>
      <w:r w:rsidRPr="00E67D60">
        <w:rPr>
          <w:rFonts w:ascii="Arial" w:hAnsi="Arial" w:cs="Arial"/>
          <w:sz w:val="24"/>
          <w:szCs w:val="24"/>
        </w:rPr>
        <w:t>водоотовода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от зданий и сооружений по их периметру рекомендуется предусматривать устройство </w:t>
      </w:r>
      <w:proofErr w:type="spellStart"/>
      <w:r w:rsidRPr="00E67D60">
        <w:rPr>
          <w:rFonts w:ascii="Arial" w:hAnsi="Arial" w:cs="Arial"/>
          <w:sz w:val="24"/>
          <w:szCs w:val="24"/>
        </w:rPr>
        <w:t>отмостки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с надежной гидроизоляцией. Уклон </w:t>
      </w:r>
      <w:proofErr w:type="spellStart"/>
      <w:r w:rsidRPr="00E67D60">
        <w:rPr>
          <w:rFonts w:ascii="Arial" w:hAnsi="Arial" w:cs="Arial"/>
          <w:sz w:val="24"/>
          <w:szCs w:val="24"/>
        </w:rPr>
        <w:t>отмостки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рекомендуется принимать не менее 10% в сторону от здания. Ширину </w:t>
      </w:r>
      <w:proofErr w:type="spellStart"/>
      <w:r w:rsidRPr="00E67D60">
        <w:rPr>
          <w:rFonts w:ascii="Arial" w:hAnsi="Arial" w:cs="Arial"/>
          <w:sz w:val="24"/>
          <w:szCs w:val="24"/>
        </w:rPr>
        <w:t>отмостки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для зданий и сооружений рекомендуется принимать 0,8-1,2 м, в сложных геологических условиях (грунты с карстами) - 1,5-3 м. В случае примыкания здания к пешеходным коммуникациям, роль </w:t>
      </w:r>
      <w:proofErr w:type="spellStart"/>
      <w:r w:rsidRPr="00E67D60">
        <w:rPr>
          <w:rFonts w:ascii="Arial" w:hAnsi="Arial" w:cs="Arial"/>
          <w:sz w:val="24"/>
          <w:szCs w:val="24"/>
        </w:rPr>
        <w:t>отмостки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обычно выполняет тротуар с твердым видом покрытия.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2.11.5. При организации стока воды со скатных крыш через водосточные трубы рекомендуется: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не допускать высоты свободного падения воды из выходного отверстия трубы более 200 мм;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покрытии;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2.11.6. 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E67D60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групп населения (пандусы, перила и пр.).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2.11.7.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годов,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обогреваемого электрического контура по внешнему периметру крыши.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E67D60">
        <w:rPr>
          <w:rFonts w:ascii="Arial" w:hAnsi="Arial" w:cs="Arial"/>
          <w:b/>
          <w:bCs/>
          <w:i/>
          <w:sz w:val="24"/>
          <w:szCs w:val="24"/>
        </w:rPr>
        <w:t>2.12. Площадки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2.12.1. На территории  проектируются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E67D60">
        <w:rPr>
          <w:rFonts w:ascii="Arial" w:hAnsi="Arial" w:cs="Arial"/>
          <w:sz w:val="24"/>
          <w:szCs w:val="24"/>
        </w:rPr>
        <w:t>зон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особо охраняемых природных территорий рекомендуется согласовывать с </w:t>
      </w:r>
      <w:r w:rsidRPr="00E67D60">
        <w:rPr>
          <w:rFonts w:ascii="Arial" w:hAnsi="Arial" w:cs="Arial"/>
          <w:sz w:val="24"/>
          <w:szCs w:val="24"/>
        </w:rPr>
        <w:lastRenderedPageBreak/>
        <w:t>уполномоченными органами охраны памятников, природопользования и охраны окружающей среды.</w:t>
      </w: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Детские площадки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2.12.2. Детские площадки обычно предназначены для игр и активного отдыха детей разных возрастов: </w:t>
      </w:r>
      <w:proofErr w:type="spellStart"/>
      <w:r w:rsidRPr="00E67D60">
        <w:rPr>
          <w:rFonts w:ascii="Arial" w:hAnsi="Arial" w:cs="Arial"/>
          <w:sz w:val="24"/>
          <w:szCs w:val="24"/>
        </w:rPr>
        <w:t>преддошкольного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 w:rsidRPr="00E67D60">
        <w:rPr>
          <w:rFonts w:ascii="Arial" w:hAnsi="Arial" w:cs="Arial"/>
          <w:sz w:val="24"/>
          <w:szCs w:val="24"/>
        </w:rPr>
        <w:t>микро-скалодромы</w:t>
      </w:r>
      <w:proofErr w:type="spellEnd"/>
      <w:r w:rsidRPr="00E67D60">
        <w:rPr>
          <w:rFonts w:ascii="Arial" w:hAnsi="Arial" w:cs="Arial"/>
          <w:sz w:val="24"/>
          <w:szCs w:val="24"/>
        </w:rPr>
        <w:t>, велодромы и т.п.) и оборудование специальных мест для катания на самокатах, роликовых досках и коньках.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2.12.3. </w:t>
      </w:r>
      <w:proofErr w:type="gramStart"/>
      <w:r w:rsidRPr="00E67D60">
        <w:rPr>
          <w:rFonts w:ascii="Arial" w:hAnsi="Arial" w:cs="Arial"/>
          <w:sz w:val="24"/>
          <w:szCs w:val="24"/>
        </w:rPr>
        <w:t xml:space="preserve">Расстояние от окон жилых домов и общественных зданий до границ детских площадок дошкольного возраста рекомендуется принимать не менее 10 м, младшего и среднего школьного возраста - не менее 20 м, комплексных игровых площадок - не менее 40 м, спортивно-игровых комплексов - не менее 100 м. Детские площадки для дошкольного и </w:t>
      </w:r>
      <w:proofErr w:type="spellStart"/>
      <w:r w:rsidRPr="00E67D60">
        <w:rPr>
          <w:rFonts w:ascii="Arial" w:hAnsi="Arial" w:cs="Arial"/>
          <w:sz w:val="24"/>
          <w:szCs w:val="24"/>
        </w:rPr>
        <w:t>преддошкольного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возраста рекомендуется размещать на участке жилой застройки, площадки для младшего и среднего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2.12.4. Площадки для игр детей на территориях жилого назначения рекомендуется проектировать из расчета 0,5-0,7 кв</w:t>
      </w:r>
      <w:proofErr w:type="gramStart"/>
      <w:r w:rsidRPr="00E67D60">
        <w:rPr>
          <w:rFonts w:ascii="Arial" w:hAnsi="Arial" w:cs="Arial"/>
          <w:sz w:val="24"/>
          <w:szCs w:val="24"/>
        </w:rPr>
        <w:t>.м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2.12.5. Площадки для игр детей </w:t>
      </w:r>
      <w:proofErr w:type="spellStart"/>
      <w:r w:rsidRPr="00E67D60">
        <w:rPr>
          <w:rFonts w:ascii="Arial" w:hAnsi="Arial" w:cs="Arial"/>
          <w:sz w:val="24"/>
          <w:szCs w:val="24"/>
        </w:rPr>
        <w:t>преддошкольного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возраста могут иметь незначительные размеры (50-75 кв</w:t>
      </w:r>
      <w:proofErr w:type="gramStart"/>
      <w:r w:rsidRPr="00E67D60">
        <w:rPr>
          <w:rFonts w:ascii="Arial" w:hAnsi="Arial" w:cs="Arial"/>
          <w:sz w:val="24"/>
          <w:szCs w:val="24"/>
        </w:rPr>
        <w:t>.м</w:t>
      </w:r>
      <w:proofErr w:type="gramEnd"/>
      <w:r w:rsidRPr="00E67D60">
        <w:rPr>
          <w:rFonts w:ascii="Arial" w:hAnsi="Arial" w:cs="Arial"/>
          <w:sz w:val="24"/>
          <w:szCs w:val="24"/>
        </w:rPr>
        <w:t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 кв.м.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2.12.6. Оптимальный размер игровых площадок рекомендуется устанавливать для детей дошкольного возраста - 70-150 кв</w:t>
      </w:r>
      <w:proofErr w:type="gramStart"/>
      <w:r w:rsidRPr="00E67D60">
        <w:rPr>
          <w:rFonts w:ascii="Arial" w:hAnsi="Arial" w:cs="Arial"/>
          <w:sz w:val="24"/>
          <w:szCs w:val="24"/>
        </w:rPr>
        <w:t>.м</w:t>
      </w:r>
      <w:proofErr w:type="gramEnd"/>
      <w:r w:rsidRPr="00E67D60">
        <w:rPr>
          <w:rFonts w:ascii="Arial" w:hAnsi="Arial" w:cs="Arial"/>
          <w:sz w:val="24"/>
          <w:szCs w:val="24"/>
        </w:rPr>
        <w:t>, школьного возраста - 100-300 кв.м, комплексных игровых площадок - 900-1600 кв.м. При этом возможно объединение площадок дошкольного возраста с площадками отдыха взрослых (размер площадки - не менее 150 кв.м).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2.12.7. В условиях исторической или высокоплотной застройки размеры площадок могут отклоняться на 40 % в зависимости от имеющихся территориальных возможностей с компенсацией нормативных показателей на прилегающих территориях.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2.12.8. 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</w:t>
      </w:r>
      <w:proofErr w:type="spellStart"/>
      <w:r w:rsidRPr="00E67D60">
        <w:rPr>
          <w:rFonts w:ascii="Arial" w:hAnsi="Arial" w:cs="Arial"/>
          <w:sz w:val="24"/>
          <w:szCs w:val="24"/>
        </w:rPr>
        <w:t>СанПиН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, площадок мусоросборников - 15 м, </w:t>
      </w:r>
      <w:proofErr w:type="spellStart"/>
      <w:r w:rsidRPr="00E67D60">
        <w:rPr>
          <w:rFonts w:ascii="Arial" w:hAnsi="Arial" w:cs="Arial"/>
          <w:sz w:val="24"/>
          <w:szCs w:val="24"/>
        </w:rPr>
        <w:t>отстойно-разворотных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площадок на конечных остановках маршрутов  транспорта - не менее 50 м.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2.12.9. При реконструкции детских площадок, во избежание травматизма, рекомендуется предотвращать наличие на территории площадки выступающих </w:t>
      </w:r>
      <w:r w:rsidRPr="00E67D60">
        <w:rPr>
          <w:rFonts w:ascii="Arial" w:hAnsi="Arial" w:cs="Arial"/>
          <w:sz w:val="24"/>
          <w:szCs w:val="24"/>
        </w:rPr>
        <w:lastRenderedPageBreak/>
        <w:t>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2.12.10. Обязательный перечень </w:t>
      </w:r>
      <w:hyperlink r:id="rId6" w:anchor="2131016" w:history="1">
        <w:r w:rsidRPr="00E67D6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элементов благоустройства территории</w:t>
        </w:r>
      </w:hyperlink>
      <w:r w:rsidRPr="00E67D60">
        <w:rPr>
          <w:rFonts w:ascii="Arial" w:hAnsi="Arial" w:cs="Arial"/>
          <w:sz w:val="24"/>
          <w:szCs w:val="24"/>
        </w:rPr>
        <w:t> 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2.12.11. 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 местах, связанных с возможностью падения детей. Места установки скамеек рекомендуется оборудовать твердыми видами покрытия или фундаментом.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2.12.12. Собственники (балансодержатели) детских площадок или объектов, составляющих детскую площадку, обязаны обеспечить надлежащее содержание детских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Площадки отдыха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2.12.13. Площадки отдыха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группы, в парках и лесопарках. </w:t>
      </w:r>
      <w:proofErr w:type="gramStart"/>
      <w:r w:rsidRPr="00E67D60">
        <w:rPr>
          <w:rFonts w:ascii="Arial" w:hAnsi="Arial" w:cs="Arial"/>
          <w:sz w:val="24"/>
          <w:szCs w:val="24"/>
        </w:rPr>
        <w:t xml:space="preserve">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 м. Расстояние от границы площадки отдыха до мест хранения автомобилей следует принимать согласно </w:t>
      </w:r>
      <w:proofErr w:type="spellStart"/>
      <w:r w:rsidRPr="00E67D60">
        <w:rPr>
          <w:rFonts w:ascii="Arial" w:hAnsi="Arial" w:cs="Arial"/>
          <w:sz w:val="24"/>
          <w:szCs w:val="24"/>
        </w:rPr>
        <w:t>СанПиН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2.2.1/2.1.1.1200, </w:t>
      </w:r>
      <w:proofErr w:type="spellStart"/>
      <w:r w:rsidRPr="00E67D60">
        <w:rPr>
          <w:rFonts w:ascii="Arial" w:hAnsi="Arial" w:cs="Arial"/>
          <w:sz w:val="24"/>
          <w:szCs w:val="24"/>
        </w:rPr>
        <w:t>отстойно-разворотных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площадок на конечных остановках маршрутов  транспорта - не менее 50 м. Расстояние от окон жилых домов до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границ площадок тихого отдыха следует устанавливать не менее 10 м, площадок шумных настольных игр - не менее 25 м.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2.12.14. Площадки отдыха на жилых территориях следует проектировать из расчета 0,1-0,2 кв</w:t>
      </w:r>
      <w:proofErr w:type="gramStart"/>
      <w:r w:rsidRPr="00E67D60">
        <w:rPr>
          <w:rFonts w:ascii="Arial" w:hAnsi="Arial" w:cs="Arial"/>
          <w:sz w:val="24"/>
          <w:szCs w:val="24"/>
        </w:rPr>
        <w:t>.м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на жителя. Оптимальный размер площадки 50-100 кв</w:t>
      </w:r>
      <w:proofErr w:type="gramStart"/>
      <w:r w:rsidRPr="00E67D60">
        <w:rPr>
          <w:rFonts w:ascii="Arial" w:hAnsi="Arial" w:cs="Arial"/>
          <w:sz w:val="24"/>
          <w:szCs w:val="24"/>
        </w:rPr>
        <w:t>.м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, минимальный размер площадки отдыха - не менее 15-20 кв.м. Допускается совмещение площадок тихого отдыха с детскими площадками.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2.12.15.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2.12.16. 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2.12.17. Собственники (балансодержатели) площадок отдыха или объектов, составляющих площадку отдыха, обязаны обеспечить надлежащее содержание площадок, включая уборку территории и очистку урн по мере их наполнения, </w:t>
      </w:r>
      <w:r w:rsidRPr="00E67D60">
        <w:rPr>
          <w:rFonts w:ascii="Arial" w:hAnsi="Arial" w:cs="Arial"/>
          <w:sz w:val="24"/>
          <w:szCs w:val="24"/>
        </w:rPr>
        <w:lastRenderedPageBreak/>
        <w:t>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Спортивные площадки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2.12.18. Спортивные площадки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следует принимать согласно </w:t>
      </w:r>
      <w:proofErr w:type="spellStart"/>
      <w:r w:rsidRPr="00E67D60">
        <w:rPr>
          <w:rFonts w:ascii="Arial" w:hAnsi="Arial" w:cs="Arial"/>
          <w:sz w:val="24"/>
          <w:szCs w:val="24"/>
        </w:rPr>
        <w:t>СанПиН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2.2.1/2.1.1.1200.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2.12.19.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20 до 40 м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не менее 150 кв</w:t>
      </w:r>
      <w:proofErr w:type="gramStart"/>
      <w:r w:rsidRPr="00E67D60">
        <w:rPr>
          <w:rFonts w:ascii="Arial" w:hAnsi="Arial" w:cs="Arial"/>
          <w:sz w:val="24"/>
          <w:szCs w:val="24"/>
        </w:rPr>
        <w:t>.м</w:t>
      </w:r>
      <w:proofErr w:type="gramEnd"/>
      <w:r w:rsidRPr="00E67D60">
        <w:rPr>
          <w:rFonts w:ascii="Arial" w:hAnsi="Arial" w:cs="Arial"/>
          <w:sz w:val="24"/>
          <w:szCs w:val="24"/>
        </w:rPr>
        <w:t>, школьного возраста (100 детей) - не менее 250 кв.м.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2.12.20. Обязательный перечень </w:t>
      </w:r>
      <w:hyperlink r:id="rId7" w:anchor="2131016" w:history="1">
        <w:r w:rsidRPr="00E67D6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элементов благоустройства территории</w:t>
        </w:r>
      </w:hyperlink>
      <w:r w:rsidRPr="00E67D60">
        <w:rPr>
          <w:rFonts w:ascii="Arial" w:hAnsi="Arial" w:cs="Arial"/>
          <w:sz w:val="24"/>
          <w:szCs w:val="24"/>
        </w:rPr>
        <w:t> 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2.12.21. Собственники (балансодержатели) спортивных площадок или </w:t>
      </w:r>
      <w:proofErr w:type="gramStart"/>
      <w:r w:rsidRPr="00E67D60">
        <w:rPr>
          <w:rFonts w:ascii="Arial" w:hAnsi="Arial" w:cs="Arial"/>
          <w:sz w:val="24"/>
          <w:szCs w:val="24"/>
        </w:rPr>
        <w:t>объектов, составляющих спортивную площадку обязаны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обеспечить надлежащее содержание детских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Площадки для установки мусоросборников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2.12.22. Площадки для установки мусоросборников - специально оборудованные места, предназначенные для сбора твердых бытовых отходов (ТБО).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2.12.23.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E67D60">
        <w:rPr>
          <w:rFonts w:ascii="Arial" w:hAnsi="Arial" w:cs="Arial"/>
          <w:sz w:val="24"/>
          <w:szCs w:val="24"/>
        </w:rPr>
        <w:t>,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чем 20 м, на участках жилой застройки - не далее 100 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 м </w:t>
      </w:r>
      <w:proofErr w:type="spellStart"/>
      <w:r w:rsidRPr="00E67D60">
        <w:rPr>
          <w:rFonts w:ascii="Arial" w:hAnsi="Arial" w:cs="Arial"/>
          <w:sz w:val="24"/>
          <w:szCs w:val="24"/>
        </w:rPr>
        <w:t>х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2.12.24. Размер площадки на один контейнер рекомендуется принимать - 2-3 кв.м. Между контейнером и краем площадки размер прохода рекомендуется устанавливать не менее 1,0 м, между контейнерами - не менее 0,35 м.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2.12.25.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ТБО. Рекомендуется проектировать освещение и озеленение площадки.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lastRenderedPageBreak/>
        <w:t xml:space="preserve">2.12.26. Покрытие площадки следует устанавливать </w:t>
      </w:r>
      <w:proofErr w:type="gramStart"/>
      <w:r w:rsidRPr="00E67D60">
        <w:rPr>
          <w:rFonts w:ascii="Arial" w:hAnsi="Arial" w:cs="Arial"/>
          <w:sz w:val="24"/>
          <w:szCs w:val="24"/>
        </w:rPr>
        <w:t>аналогичным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2.12.27.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 м.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2.12.28. Контейнерная площадка должна иметь ограждение с трех сторон высотой не менее 1,6 метра, не допускающее попадание мусора на прилегающую территорию. Допускается изготовление контейнерных площадок закрытого типа по </w:t>
      </w:r>
      <w:proofErr w:type="gramStart"/>
      <w:r w:rsidRPr="00E67D60">
        <w:rPr>
          <w:rFonts w:ascii="Arial" w:hAnsi="Arial" w:cs="Arial"/>
          <w:sz w:val="24"/>
          <w:szCs w:val="24"/>
        </w:rPr>
        <w:t>индивидуальным проектам</w:t>
      </w:r>
      <w:proofErr w:type="gramEnd"/>
      <w:r w:rsidRPr="00E67D60">
        <w:rPr>
          <w:rFonts w:ascii="Arial" w:hAnsi="Arial" w:cs="Arial"/>
          <w:sz w:val="24"/>
          <w:szCs w:val="24"/>
        </w:rPr>
        <w:t>, согласованным в установленном порядке.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2.12.29. На каждом контейнере должна быть размещена информация о его балансодержателе (наименование и юридический адрес).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2.12.30. Балансодержатель контейнеров обязан обеспечить надлежащее состояние и уборку контейнерной площадки и прилегающей территории к ней в радиусе 10 метров, если иное не предусмотрено договором на вывоз твердых бытовых отходов.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E67D60">
        <w:rPr>
          <w:rFonts w:ascii="Arial" w:hAnsi="Arial" w:cs="Arial"/>
          <w:bCs/>
          <w:i/>
          <w:sz w:val="24"/>
          <w:szCs w:val="24"/>
        </w:rPr>
        <w:t>Площадки автостоянок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2.12.31. </w:t>
      </w:r>
      <w:proofErr w:type="gramStart"/>
      <w:r w:rsidRPr="00E67D60">
        <w:rPr>
          <w:rFonts w:ascii="Arial" w:hAnsi="Arial" w:cs="Arial"/>
          <w:sz w:val="24"/>
          <w:szCs w:val="24"/>
        </w:rPr>
        <w:t>На территории предусматриваются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«карманов» и отступов от проезжей части), гостевых (на участке жилой застройки), для хранения автомобилей населения (</w:t>
      </w:r>
      <w:r w:rsidR="00AB3022">
        <w:rPr>
          <w:rFonts w:ascii="Arial" w:hAnsi="Arial" w:cs="Arial"/>
          <w:sz w:val="24"/>
          <w:szCs w:val="24"/>
        </w:rPr>
        <w:t>муниципальные</w:t>
      </w:r>
      <w:r w:rsidRPr="00E67D60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E67D60">
        <w:rPr>
          <w:rFonts w:ascii="Arial" w:hAnsi="Arial" w:cs="Arial"/>
          <w:sz w:val="24"/>
          <w:szCs w:val="24"/>
        </w:rPr>
        <w:t>приобъектных</w:t>
      </w:r>
      <w:proofErr w:type="spellEnd"/>
      <w:r w:rsidRPr="00E67D60">
        <w:rPr>
          <w:rFonts w:ascii="Arial" w:hAnsi="Arial" w:cs="Arial"/>
          <w:sz w:val="24"/>
          <w:szCs w:val="24"/>
        </w:rPr>
        <w:t xml:space="preserve"> (у объекта или группы объектов), прочих (грузовых, перехватывающих и др.).</w:t>
      </w:r>
      <w:proofErr w:type="gramEnd"/>
    </w:p>
    <w:p w:rsidR="00413102" w:rsidRPr="00E67D60" w:rsidRDefault="00413102" w:rsidP="00E67D6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2.12.32.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На уличных парковках не устанавливается </w:t>
      </w:r>
      <w:proofErr w:type="gramStart"/>
      <w:r w:rsidRPr="00E67D60">
        <w:rPr>
          <w:rFonts w:ascii="Arial" w:hAnsi="Arial" w:cs="Arial"/>
          <w:sz w:val="24"/>
          <w:szCs w:val="24"/>
        </w:rPr>
        <w:t>осветительное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и информационное оборудование является не обязательным.</w:t>
      </w:r>
    </w:p>
    <w:p w:rsidR="00413102" w:rsidRPr="00E67D60" w:rsidRDefault="00413102" w:rsidP="00E67D6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2.12.33. Покрытие площадок рекомендуется проектировать </w:t>
      </w:r>
      <w:proofErr w:type="gramStart"/>
      <w:r w:rsidRPr="00E67D60">
        <w:rPr>
          <w:rFonts w:ascii="Arial" w:hAnsi="Arial" w:cs="Arial"/>
          <w:sz w:val="24"/>
          <w:szCs w:val="24"/>
        </w:rPr>
        <w:t>аналогичным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покрытию транспортных проездов.</w:t>
      </w:r>
    </w:p>
    <w:p w:rsidR="00413102" w:rsidRPr="00E67D60" w:rsidRDefault="00413102" w:rsidP="00E67D6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2.12.34. Сопряжение покрытия площадки с проездом рекомендуется выполнять в одном уровне без укладки бортового камня, с газоном - в соответствии с </w:t>
      </w:r>
      <w:hyperlink r:id="rId8" w:anchor="243" w:history="1">
        <w:r w:rsidRPr="00E67D6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пунктом 2.4.3</w:t>
        </w:r>
      </w:hyperlink>
      <w:r w:rsidRPr="00E67D60">
        <w:rPr>
          <w:rFonts w:ascii="Arial" w:hAnsi="Arial" w:cs="Arial"/>
          <w:sz w:val="24"/>
          <w:szCs w:val="24"/>
        </w:rPr>
        <w:t> настоящих Правил</w:t>
      </w:r>
    </w:p>
    <w:p w:rsidR="00413102" w:rsidRPr="00E67D60" w:rsidRDefault="00413102" w:rsidP="00E67D6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2.12.35.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413102" w:rsidRPr="00E67D60" w:rsidRDefault="00413102" w:rsidP="00E67D6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2.12.36. Не допускается проектирование автостоянок, размещение временных автостоянок за счет сноса зеленых насаждений, газонов или уменьшения площади озелененных территорий.</w:t>
      </w:r>
    </w:p>
    <w:p w:rsidR="00413102" w:rsidRPr="00E67D60" w:rsidRDefault="00413102" w:rsidP="00E67D6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E67D60" w:rsidRDefault="00413102" w:rsidP="00E67D6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67D60">
        <w:rPr>
          <w:rFonts w:ascii="Arial" w:eastAsia="Times New Roman" w:hAnsi="Arial" w:cs="Arial"/>
          <w:b/>
          <w:sz w:val="24"/>
          <w:szCs w:val="24"/>
        </w:rPr>
        <w:t xml:space="preserve">             Раздел 3.Прилегающая территория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color w:val="2D2D2D"/>
          <w:spacing w:val="1"/>
        </w:rPr>
        <w:br/>
      </w:r>
      <w:r w:rsidRPr="00E67D60">
        <w:rPr>
          <w:rFonts w:ascii="Arial" w:hAnsi="Arial" w:cs="Arial"/>
          <w:spacing w:val="1"/>
        </w:rPr>
        <w:t>3.1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3.2</w:t>
      </w:r>
      <w:proofErr w:type="gramStart"/>
      <w:r w:rsidRPr="00E67D60">
        <w:rPr>
          <w:rFonts w:ascii="Arial" w:hAnsi="Arial" w:cs="Arial"/>
          <w:spacing w:val="1"/>
        </w:rPr>
        <w:t xml:space="preserve"> В</w:t>
      </w:r>
      <w:proofErr w:type="gramEnd"/>
      <w:r w:rsidRPr="00E67D60">
        <w:rPr>
          <w:rFonts w:ascii="Arial" w:hAnsi="Arial" w:cs="Arial"/>
          <w:spacing w:val="1"/>
        </w:rPr>
        <w:t xml:space="preserve"> границе прилегающей территории могут располагаться следующие территории общего пользования или их части: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lastRenderedPageBreak/>
        <w:br/>
        <w:t>1) пешеходные коммуникации, в том числе тротуары, аллеи, дорожки, тропинки;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2) палисадники, клумбы;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3.3</w:t>
      </w:r>
      <w:proofErr w:type="gramStart"/>
      <w:r w:rsidRPr="00E67D60">
        <w:rPr>
          <w:rFonts w:ascii="Arial" w:hAnsi="Arial" w:cs="Arial"/>
          <w:spacing w:val="1"/>
        </w:rPr>
        <w:t xml:space="preserve"> В</w:t>
      </w:r>
      <w:proofErr w:type="gramEnd"/>
      <w:r w:rsidRPr="00E67D60">
        <w:rPr>
          <w:rFonts w:ascii="Arial" w:hAnsi="Arial" w:cs="Arial"/>
          <w:spacing w:val="1"/>
        </w:rPr>
        <w:t xml:space="preserve">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1) для надземных линейных объектов инженерной инфраструктуры - 5 метров по обе стороны;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3) для земельных участков, предназначенных для строительства объектов капитального строительства, - 15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4) для хозяйствующих субъектов, являющихся правообладателями земельных участков, - 25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5) для гаражно-строительных кооперативов - 25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6) для жилых домов блокированной застройки, индивидуальных жилых домов с приусадебными земельными участками - 5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7) для индивидуальных жилых домов с приусадебными земельными участками, расположенных на пересечении улиц, переулков, проездов, - 5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домов, - 15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9) для территории ведения гражданами садоводства или огородничества для собственных нужд - 25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10) 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товарищества, - 5 метров.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3.4</w:t>
      </w:r>
      <w:proofErr w:type="gramStart"/>
      <w:r w:rsidR="00BE7A9C" w:rsidRPr="00E67D60">
        <w:rPr>
          <w:rFonts w:ascii="Arial" w:hAnsi="Arial" w:cs="Arial"/>
          <w:spacing w:val="1"/>
        </w:rPr>
        <w:t xml:space="preserve"> </w:t>
      </w:r>
      <w:r w:rsidRPr="00E67D60">
        <w:rPr>
          <w:rFonts w:ascii="Arial" w:hAnsi="Arial" w:cs="Arial"/>
          <w:spacing w:val="1"/>
        </w:rPr>
        <w:t xml:space="preserve"> В</w:t>
      </w:r>
      <w:proofErr w:type="gramEnd"/>
      <w:r w:rsidRPr="00E67D60">
        <w:rPr>
          <w:rFonts w:ascii="Arial" w:hAnsi="Arial" w:cs="Arial"/>
          <w:spacing w:val="1"/>
        </w:rPr>
        <w:t xml:space="preserve"> случае,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lastRenderedPageBreak/>
        <w:br/>
        <w:t>1) для 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сооружениях, - 10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 xml:space="preserve">2) для хозяйствующих субъектов, не указанных </w:t>
      </w:r>
      <w:proofErr w:type="gramStart"/>
      <w:r w:rsidRPr="00E67D60">
        <w:rPr>
          <w:rFonts w:ascii="Arial" w:hAnsi="Arial" w:cs="Arial"/>
          <w:spacing w:val="1"/>
        </w:rPr>
        <w:t>пункте</w:t>
      </w:r>
      <w:proofErr w:type="gramEnd"/>
      <w:r w:rsidRPr="00E67D60">
        <w:rPr>
          <w:rFonts w:ascii="Arial" w:hAnsi="Arial" w:cs="Arial"/>
          <w:spacing w:val="1"/>
        </w:rPr>
        <w:t xml:space="preserve"> 1 настоящей части, - 40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3) для индивидуальных жилых домов - 20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4) для индивидуальных жилых домов, расположенных на пересечении улиц, проездов, переулков, - 20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5) для гаражно-строительных кооперативов - 40 метров.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3.5</w:t>
      </w:r>
      <w:proofErr w:type="gramStart"/>
      <w:r w:rsidRPr="00E67D60">
        <w:rPr>
          <w:rFonts w:ascii="Arial" w:hAnsi="Arial" w:cs="Arial"/>
          <w:spacing w:val="1"/>
        </w:rPr>
        <w:t xml:space="preserve">  В</w:t>
      </w:r>
      <w:proofErr w:type="gramEnd"/>
      <w:r w:rsidRPr="00E67D60">
        <w:rPr>
          <w:rFonts w:ascii="Arial" w:hAnsi="Arial" w:cs="Arial"/>
          <w:spacing w:val="1"/>
        </w:rPr>
        <w:t xml:space="preserve"> случае, если сведения о земельном участке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1) для индивидуальных жилых домов - 20 метров;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2) для индивидуальных жилых домов, расположенных на пересечении улиц, проездов, переулков, - 20 метров.</w:t>
      </w:r>
    </w:p>
    <w:p w:rsidR="00E7246B" w:rsidRPr="00E67D60" w:rsidRDefault="00E7246B" w:rsidP="00E67D6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E67D60">
        <w:rPr>
          <w:rFonts w:ascii="Arial" w:hAnsi="Arial" w:cs="Arial"/>
          <w:spacing w:val="1"/>
        </w:rPr>
        <w:br/>
        <w:t>3.6</w:t>
      </w:r>
      <w:proofErr w:type="gramStart"/>
      <w:r w:rsidRPr="00E67D60">
        <w:rPr>
          <w:rFonts w:ascii="Arial" w:hAnsi="Arial" w:cs="Arial"/>
          <w:spacing w:val="1"/>
        </w:rPr>
        <w:t xml:space="preserve"> П</w:t>
      </w:r>
      <w:proofErr w:type="gramEnd"/>
      <w:r w:rsidRPr="00E67D60">
        <w:rPr>
          <w:rFonts w:ascii="Arial" w:hAnsi="Arial" w:cs="Arial"/>
          <w:spacing w:val="1"/>
        </w:rPr>
        <w:t>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объектов, указанных в частях 3 и 4 настоящей статьи.</w:t>
      </w:r>
    </w:p>
    <w:p w:rsidR="00413102" w:rsidRPr="00E67D60" w:rsidRDefault="00BE7A9C" w:rsidP="00E67D60">
      <w:pPr>
        <w:pStyle w:val="a3"/>
        <w:jc w:val="both"/>
        <w:rPr>
          <w:rFonts w:ascii="Arial" w:hAnsi="Arial" w:cs="Arial"/>
        </w:rPr>
      </w:pPr>
      <w:proofErr w:type="gramStart"/>
      <w:r w:rsidRPr="00E67D60">
        <w:rPr>
          <w:rFonts w:ascii="Arial" w:hAnsi="Arial" w:cs="Arial"/>
        </w:rPr>
        <w:t xml:space="preserve">3.7  </w:t>
      </w:r>
      <w:r w:rsidR="00413102" w:rsidRPr="00E67D60">
        <w:rPr>
          <w:rFonts w:ascii="Arial" w:hAnsi="Arial" w:cs="Arial"/>
        </w:rPr>
        <w:t>Организации, управляющие жилищным фондом, иные юридические лица, индивидуальные предприниматели, собственники индивидуальных жилых домов и земельных участков обязаны заключить и иметь постоянно действующий договор на вывоз и размещение отходов производства и потребления со специализированными организациями, имеющими лицензию на сбор, использование, обезвреживание, транспортировку, размещение отходов I - IV класса опасности или с другой специализированной (не имеющей лицензии) организацией на вывоз и размещение</w:t>
      </w:r>
      <w:proofErr w:type="gramEnd"/>
      <w:r w:rsidR="00413102" w:rsidRPr="00E67D60">
        <w:rPr>
          <w:rFonts w:ascii="Arial" w:hAnsi="Arial" w:cs="Arial"/>
        </w:rPr>
        <w:t xml:space="preserve"> отходов V класса опасности.</w:t>
      </w:r>
    </w:p>
    <w:p w:rsidR="00413102" w:rsidRPr="00E67D60" w:rsidRDefault="00BE7A9C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3.8</w:t>
      </w:r>
      <w:r w:rsidR="00413102" w:rsidRPr="00E67D60">
        <w:rPr>
          <w:rFonts w:ascii="Arial" w:hAnsi="Arial" w:cs="Arial"/>
          <w:sz w:val="24"/>
          <w:szCs w:val="24"/>
        </w:rPr>
        <w:t xml:space="preserve"> Собственники объектов мелкорозничной торговли, бытового обслуживания и питания обязаны обеспечить работу осветительного оборудования, установки урн возле объектов, своевременную уборку урн и малых контейнеров, а также благоустройство и своевременную уборку территории в радиус</w:t>
      </w:r>
      <w:r w:rsidRPr="00E67D60">
        <w:rPr>
          <w:rFonts w:ascii="Arial" w:hAnsi="Arial" w:cs="Arial"/>
          <w:sz w:val="24"/>
          <w:szCs w:val="24"/>
        </w:rPr>
        <w:t>е 4</w:t>
      </w:r>
      <w:r w:rsidR="00413102" w:rsidRPr="00E67D60">
        <w:rPr>
          <w:rFonts w:ascii="Arial" w:hAnsi="Arial" w:cs="Arial"/>
          <w:sz w:val="24"/>
          <w:szCs w:val="24"/>
        </w:rPr>
        <w:t>0 метров от нестационарного объекта. Ответственность за уборку территории в радиусе 20 метров от нестационарного (некапитального) объекта мелкорозничной торговли несут лица, осуществляющие торговлю.</w:t>
      </w:r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A9C" w:rsidRPr="00E67D60" w:rsidRDefault="00BE7A9C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67D60">
        <w:rPr>
          <w:rFonts w:ascii="Arial" w:hAnsi="Arial" w:cs="Arial"/>
          <w:sz w:val="24"/>
          <w:szCs w:val="24"/>
        </w:rPr>
        <w:t>3.9</w:t>
      </w:r>
      <w:r w:rsidR="00413102" w:rsidRPr="00E67D60">
        <w:rPr>
          <w:rFonts w:ascii="Arial" w:hAnsi="Arial" w:cs="Arial"/>
          <w:sz w:val="24"/>
          <w:szCs w:val="24"/>
        </w:rPr>
        <w:t xml:space="preserve"> Размещение туалетных кабин рекомендуется предусматривать на активно посещаемых территориях населенного пункта 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</w:t>
      </w:r>
      <w:r w:rsidR="00413102" w:rsidRPr="00E67D60">
        <w:rPr>
          <w:rFonts w:ascii="Arial" w:hAnsi="Arial" w:cs="Arial"/>
          <w:sz w:val="24"/>
          <w:szCs w:val="24"/>
        </w:rPr>
        <w:lastRenderedPageBreak/>
        <w:t xml:space="preserve">рекреации (парках, садах), в местах установки городских АЗС, на автостоянках, а также - при нестационарных (некапитальных) сооружениях питания. </w:t>
      </w:r>
      <w:proofErr w:type="gramEnd"/>
    </w:p>
    <w:p w:rsidR="00413102" w:rsidRPr="00E67D60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20 м. Туалетную кабину необходимо устанавливать на твердые виды покрытия.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E67D60">
        <w:rPr>
          <w:rFonts w:ascii="Arial" w:hAnsi="Arial" w:cs="Arial"/>
          <w:b/>
          <w:bCs/>
          <w:sz w:val="24"/>
          <w:szCs w:val="24"/>
        </w:rPr>
        <w:t>Раздел 4. Особые требования к доступности жилой среды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4.1. При проектировании объектов благоустройства жилой среды, улиц и дорог, объектов культурно-бытового обслуживания предусматривается доступность среды 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4.2.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413102" w:rsidRPr="00E67D60" w:rsidRDefault="00413102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E67D60">
        <w:rPr>
          <w:rFonts w:ascii="Arial" w:hAnsi="Arial" w:cs="Arial"/>
          <w:b/>
          <w:bCs/>
          <w:sz w:val="24"/>
          <w:szCs w:val="24"/>
        </w:rPr>
        <w:t xml:space="preserve">Раздел 5. Праздничное оформление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5.1. Праздничное оформление территории выполняется по решению Администрации </w:t>
      </w:r>
      <w:r w:rsidR="00AB3022">
        <w:rPr>
          <w:rFonts w:ascii="Arial" w:hAnsi="Arial" w:cs="Arial"/>
          <w:sz w:val="24"/>
          <w:szCs w:val="24"/>
        </w:rPr>
        <w:t>Нижнеборковского сельсовета</w:t>
      </w:r>
      <w:r w:rsidRPr="00E67D60">
        <w:rPr>
          <w:rFonts w:ascii="Arial" w:hAnsi="Arial" w:cs="Arial"/>
          <w:sz w:val="24"/>
          <w:szCs w:val="24"/>
        </w:rPr>
        <w:t xml:space="preserve"> на  период проведения государственных  праздников, мероприятий, связанных со знаменательными событиями и праздничными датами.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Оформление зданий, сооружений осуществляется  их владельцами в рамках концепции праздничного оформления территории.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5.2. </w:t>
      </w:r>
      <w:proofErr w:type="gramStart"/>
      <w:r w:rsidRPr="00E67D60">
        <w:rPr>
          <w:rFonts w:ascii="Arial" w:hAnsi="Arial" w:cs="Arial"/>
          <w:sz w:val="24"/>
          <w:szCs w:val="24"/>
        </w:rPr>
        <w:t>Праздничное оформление включает в себя: вывеску флагов, лозунгов, гирлянд, панно, установку декоративных элементов и композиций, стендов, трибун, эстрад, а также устройство праздничной иллюминаций.</w:t>
      </w:r>
      <w:proofErr w:type="gramEnd"/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5.3. Обязательными элементами праздничного оформления к празднованию Нового года являются размещение на фасадах,  в витринах гирлянд.          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При наличии земельного участка с выходом на улицы, собственникам объектов недвижимости на них расположенных, рекомендуется установить искусственную или натуральную ель или сосну, с украшением ее гирляндами (при наличии технической возможности) и игрушками (данные требования не распространяются на жилищный фонд).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67D60">
        <w:rPr>
          <w:rFonts w:ascii="Arial" w:hAnsi="Arial" w:cs="Arial"/>
          <w:i/>
          <w:sz w:val="24"/>
          <w:szCs w:val="24"/>
        </w:rPr>
        <w:t>Новогоднее праздничное оформление должно быть произведено к 20 декабря.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5.4. Праздничное оформление обязательно выполняется к празднованию Дня Победы и Дня </w:t>
      </w:r>
      <w:r w:rsidR="00AB3022">
        <w:rPr>
          <w:rFonts w:ascii="Arial" w:hAnsi="Arial" w:cs="Arial"/>
          <w:sz w:val="24"/>
          <w:szCs w:val="24"/>
        </w:rPr>
        <w:t>села</w:t>
      </w:r>
      <w:r w:rsidRPr="00E67D60">
        <w:rPr>
          <w:rFonts w:ascii="Arial" w:hAnsi="Arial" w:cs="Arial"/>
          <w:sz w:val="24"/>
          <w:szCs w:val="24"/>
        </w:rPr>
        <w:t>.</w:t>
      </w:r>
    </w:p>
    <w:p w:rsidR="00413102" w:rsidRPr="00E67D60" w:rsidRDefault="00413102" w:rsidP="00BE7A9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>Обязательными элементами праздничного оформления к празднованию  являются символика.</w:t>
      </w:r>
    </w:p>
    <w:p w:rsidR="00413102" w:rsidRPr="00E67D60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E67D60" w:rsidRDefault="00413102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E67D60">
        <w:rPr>
          <w:rFonts w:ascii="Arial" w:hAnsi="Arial" w:cs="Arial"/>
          <w:b/>
          <w:bCs/>
          <w:sz w:val="24"/>
          <w:szCs w:val="24"/>
        </w:rPr>
        <w:t xml:space="preserve">Раздел 6. </w:t>
      </w:r>
      <w:proofErr w:type="gramStart"/>
      <w:r w:rsidRPr="00E67D60">
        <w:rPr>
          <w:rFonts w:ascii="Arial" w:hAnsi="Arial" w:cs="Arial"/>
          <w:b/>
          <w:bCs/>
          <w:sz w:val="24"/>
          <w:szCs w:val="24"/>
        </w:rPr>
        <w:t>Контроль за</w:t>
      </w:r>
      <w:proofErr w:type="gramEnd"/>
      <w:r w:rsidRPr="00E67D60">
        <w:rPr>
          <w:rFonts w:ascii="Arial" w:hAnsi="Arial" w:cs="Arial"/>
          <w:b/>
          <w:bCs/>
          <w:sz w:val="24"/>
          <w:szCs w:val="24"/>
        </w:rPr>
        <w:t xml:space="preserve"> соблюдением норм и правил благоустройства</w:t>
      </w:r>
    </w:p>
    <w:p w:rsidR="00413102" w:rsidRPr="00E67D60" w:rsidRDefault="00413102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413102" w:rsidRPr="00E67D60" w:rsidRDefault="00413102" w:rsidP="00D7424E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E67D60">
        <w:rPr>
          <w:rFonts w:ascii="Arial" w:hAnsi="Arial" w:cs="Arial"/>
          <w:sz w:val="24"/>
          <w:szCs w:val="24"/>
        </w:rPr>
        <w:t xml:space="preserve">6.1. Лица, нарушившие данные Правила, привлекаются к ответственности в соответствии кодексом об Административных правонарушениях </w:t>
      </w:r>
      <w:proofErr w:type="gramStart"/>
      <w:r w:rsidRPr="00E67D60">
        <w:rPr>
          <w:rFonts w:ascii="Arial" w:hAnsi="Arial" w:cs="Arial"/>
          <w:sz w:val="24"/>
          <w:szCs w:val="24"/>
        </w:rPr>
        <w:t>РФ</w:t>
      </w:r>
      <w:proofErr w:type="gramEnd"/>
      <w:r w:rsidRPr="00E67D60">
        <w:rPr>
          <w:rFonts w:ascii="Arial" w:hAnsi="Arial" w:cs="Arial"/>
          <w:sz w:val="24"/>
          <w:szCs w:val="24"/>
        </w:rPr>
        <w:t xml:space="preserve"> а также с законодательством Курской области   об административных правонарушениях.</w:t>
      </w:r>
    </w:p>
    <w:sectPr w:rsidR="00413102" w:rsidRPr="00E67D60" w:rsidSect="0033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413102"/>
    <w:rsid w:val="000C1209"/>
    <w:rsid w:val="003323F7"/>
    <w:rsid w:val="003D6F2F"/>
    <w:rsid w:val="003F4632"/>
    <w:rsid w:val="00413102"/>
    <w:rsid w:val="00641CBD"/>
    <w:rsid w:val="007E766E"/>
    <w:rsid w:val="00817831"/>
    <w:rsid w:val="00AB3022"/>
    <w:rsid w:val="00BA0D0D"/>
    <w:rsid w:val="00BC18F6"/>
    <w:rsid w:val="00BE47F5"/>
    <w:rsid w:val="00BE7A9C"/>
    <w:rsid w:val="00C16F74"/>
    <w:rsid w:val="00C83F73"/>
    <w:rsid w:val="00D477A2"/>
    <w:rsid w:val="00D7424E"/>
    <w:rsid w:val="00E5272D"/>
    <w:rsid w:val="00E67D60"/>
    <w:rsid w:val="00E7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1310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13102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iPriority w:val="99"/>
    <w:semiHidden/>
    <w:unhideWhenUsed/>
    <w:rsid w:val="0041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413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4">
    <w:name w:val="Hyperlink"/>
    <w:basedOn w:val="a0"/>
    <w:uiPriority w:val="99"/>
    <w:semiHidden/>
    <w:unhideWhenUsed/>
    <w:rsid w:val="0041310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72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E7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01844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001844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018446/" TargetMode="External"/><Relationship Id="rId5" Type="http://schemas.openxmlformats.org/officeDocument/2006/relationships/hyperlink" Target="http://www.garant.ru/products/ipo/prime/doc/7001844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arant.ru/products/ipo/prime/doc/7001844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9678</Words>
  <Characters>55171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НижниеБорки</cp:lastModifiedBy>
  <cp:revision>15</cp:revision>
  <dcterms:created xsi:type="dcterms:W3CDTF">2018-10-26T05:01:00Z</dcterms:created>
  <dcterms:modified xsi:type="dcterms:W3CDTF">2018-10-26T07:48:00Z</dcterms:modified>
</cp:coreProperties>
</file>