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19" w:rsidRPr="00E77B99" w:rsidRDefault="00C72319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НИЖНЕБОРКОВСКОГО СЕЛЬСОВЕТА </w:t>
      </w:r>
    </w:p>
    <w:p w:rsidR="00C72319" w:rsidRPr="00E77B99" w:rsidRDefault="00C72319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ГОРШЕЧЕНСКОГО РАЙОНА 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ПОСТАНОВЛЕНИЕ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 xml:space="preserve">от 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01 декабря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20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20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года N 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49</w:t>
      </w:r>
      <w:proofErr w:type="gramStart"/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О</w:t>
      </w:r>
      <w:proofErr w:type="gramEnd"/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 утверждении Порядка формирования и утверждения перечня объектов, в отношении которых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планируется заключение концессионных соглашений </w:t>
      </w:r>
    </w:p>
    <w:p w:rsidR="00C72319" w:rsidRPr="00E167EF" w:rsidRDefault="00C72319" w:rsidP="00C72319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исполнение </w:t>
      </w:r>
      <w:hyperlink r:id="rId4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в целях повышения эффективности организации взаимодействия органов исполнительной власти Курской области при подготовке, заключении, исполнении, изменении, мониторинге и прекращении концессионных соглашений на территории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МО «Нижнеборковский сельсовет»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Нижнеборковского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постановляет:</w:t>
      </w:r>
      <w:proofErr w:type="gramEnd"/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1. Утвердить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 вступает в силу с момента подписания.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Нижнеборковского сельсовета 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                      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А.Н.Часовских</w:t>
      </w:r>
      <w:proofErr w:type="spell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постановлением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Администрации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Нижнеборковского сельсовета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01.12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20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г. N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49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72319" w:rsidRPr="00E167EF" w:rsidRDefault="00C72319" w:rsidP="00C72319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 Настоящий Порядок устанавливает процедуру формирования и утверждения перечня объектов, право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которые принадлежит или будет принадлежать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МО «Нижнеборковский сельсовет»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(далее - объекты), в отношении которых планируется заключение концессионных соглашений (далее - Перечень).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 Формирование Перечня осуществляется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Администрацией Нижнеборковского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ежегодно до 15 декабря года, предшествующего году утверждения Перечня,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на основании сведений, предоставляемых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Администрацией Нижнеборковского сельсовета Горшеченского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 Для формирования Перечня, ежегодно до 15 ноября года, предшествующего году утверждения Перечня, представля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ются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Администрацию Нижнеборковского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2) выписки из Единого государственного реестра недвижимости на объекты, в отношении которых планируется заключение концессионных соглашений, или иных документов о праве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собственности, документов, подтверждающих наличие объектов незавершенного строительства (далее - правоустанавливающие документы) (при наличии).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4.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случае включения в сведения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органы исполнительной власти представляют в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Нижнеборковского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- копия отчета о техническом обследовании имущества).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5.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Администрация Нижнеборковского сельсовета Горшеченского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рассматривает документы, указанные в пунктах 3, 4 настоящего Порядка, и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lastRenderedPageBreak/>
        <w:t>принимает решение о включении объектов в Перечень, за исключением случаев, указанных в пункте 6 настоящего Порядка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6. Сведения об объектах не включаются в Перечень в случаях, если: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объект не относится к объектам, указанным в статье 4 </w:t>
      </w:r>
      <w:hyperlink r:id="rId5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2) не представлены или представлены не в полном объеме документы, указанные в пунктах 3, 4 настоящего Порядка.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7. В целях подтверждения права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собственности на объекты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Администрация Нижнеборковского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вправе запрашивать правоустанавливающие документы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в порядке межведомственного взаимодействия в органе, осуществляющем государственную регистрацию права.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от 21 июля 2015 года N 115-ФЗ "О концессионных соглашениях".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9. Перечень утверждается распоряжением Администрации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Нижнеборковского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 (далее - Распоряжение) до 1 февраля текущего календарного года. В распоряжении дается поручение разместить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течение 30 дней, с момента подписания,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утвержденный Перечень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Нижнеборковского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размещается комитетом по экономике и развитию Курской области в соответствии с требованиями Распоряжения в течение 10 календарных дней со дня издания Распоряжения.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10. При отсутствии предложений о формировании Перечня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Администрация Нижнеборковского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размещает на официальном сайте Администрации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Нижнеборковского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информацию об отсутствии объектов, право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которые принадлежит</w:t>
      </w:r>
      <w:r w:rsidRP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Нижнеборковского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области, в отношении которых планируется заключение концессионных соглашений.</w:t>
      </w: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Порядку формирования 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утверждения перечня объектов,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отношении которых планируется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заключение концессионных соглашений</w:t>
      </w: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167EF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об объектах, в отношении которых планируется заключение концессионных соглашений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9"/>
        <w:gridCol w:w="1784"/>
        <w:gridCol w:w="1875"/>
        <w:gridCol w:w="1991"/>
        <w:gridCol w:w="1661"/>
        <w:gridCol w:w="1455"/>
      </w:tblGrid>
      <w:tr w:rsidR="00C72319" w:rsidRPr="00E167EF" w:rsidTr="0014476A">
        <w:trPr>
          <w:trHeight w:val="15"/>
        </w:trPr>
        <w:tc>
          <w:tcPr>
            <w:tcW w:w="589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784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Предполагаемая мощность объекта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Оценочный объем требуемых инвестиций</w:t>
            </w: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72319" w:rsidRDefault="00C72319" w:rsidP="00C72319">
      <w:pPr>
        <w:jc w:val="both"/>
        <w:rPr>
          <w:rFonts w:ascii="Arial" w:hAnsi="Arial" w:cs="Arial"/>
          <w:sz w:val="24"/>
          <w:szCs w:val="24"/>
        </w:rPr>
      </w:pPr>
    </w:p>
    <w:p w:rsidR="00C72319" w:rsidRPr="009E30EE" w:rsidRDefault="00C72319" w:rsidP="00C72319">
      <w:pPr>
        <w:jc w:val="both"/>
        <w:rPr>
          <w:rFonts w:ascii="Arial" w:hAnsi="Arial" w:cs="Arial"/>
          <w:sz w:val="24"/>
          <w:szCs w:val="24"/>
        </w:rPr>
      </w:pPr>
    </w:p>
    <w:p w:rsidR="00C72319" w:rsidRPr="009E30EE" w:rsidRDefault="00C72319" w:rsidP="00C72319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9E30EE">
        <w:rPr>
          <w:rFonts w:ascii="Arial" w:eastAsia="Times New Roman" w:hAnsi="Arial" w:cs="Arial"/>
          <w:sz w:val="23"/>
          <w:szCs w:val="23"/>
          <w:lang w:eastAsia="ru-RU"/>
        </w:rPr>
        <w:t>Приложение 2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 Порядку формирования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и утверждения перечня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объектов, в отношении которых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планируется заключение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концессионных соглашений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Перечень объектов, в отношении которых планируется заключение концессионных соглашений</w:t>
      </w:r>
    </w:p>
    <w:tbl>
      <w:tblPr>
        <w:tblW w:w="75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1811"/>
        <w:gridCol w:w="1977"/>
        <w:gridCol w:w="2038"/>
        <w:gridCol w:w="1669"/>
      </w:tblGrid>
      <w:tr w:rsidR="00C72319" w:rsidRPr="009E30EE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 xml:space="preserve">№ </w:t>
            </w:r>
            <w:proofErr w:type="spellStart"/>
            <w:proofErr w:type="gramStart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</w:t>
            </w:r>
            <w:proofErr w:type="spellEnd"/>
            <w:proofErr w:type="gramEnd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/</w:t>
            </w:r>
            <w:proofErr w:type="spellStart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Наименование</w:t>
            </w:r>
          </w:p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объекта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Предполагаемая</w:t>
            </w:r>
            <w:proofErr w:type="gramEnd"/>
          </w:p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мощность объекта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Планируемая сфера применения  объекта</w:t>
            </w:r>
          </w:p>
        </w:tc>
      </w:tr>
      <w:tr w:rsidR="00C72319" w:rsidRPr="009E30EE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319"/>
    <w:rsid w:val="00064743"/>
    <w:rsid w:val="000A3C8E"/>
    <w:rsid w:val="000A7250"/>
    <w:rsid w:val="00105E33"/>
    <w:rsid w:val="00193054"/>
    <w:rsid w:val="001979FB"/>
    <w:rsid w:val="001A7E66"/>
    <w:rsid w:val="002A5EB2"/>
    <w:rsid w:val="00394DE2"/>
    <w:rsid w:val="00432220"/>
    <w:rsid w:val="00440DD3"/>
    <w:rsid w:val="004C5F44"/>
    <w:rsid w:val="0069030C"/>
    <w:rsid w:val="007F2C6C"/>
    <w:rsid w:val="00857B67"/>
    <w:rsid w:val="009704EB"/>
    <w:rsid w:val="00987E7F"/>
    <w:rsid w:val="00A201C7"/>
    <w:rsid w:val="00A51AC5"/>
    <w:rsid w:val="00B271D6"/>
    <w:rsid w:val="00C56B46"/>
    <w:rsid w:val="00C66688"/>
    <w:rsid w:val="00C72319"/>
    <w:rsid w:val="00C73030"/>
    <w:rsid w:val="00D15C6E"/>
    <w:rsid w:val="00DC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2</cp:revision>
  <dcterms:created xsi:type="dcterms:W3CDTF">2020-11-27T07:50:00Z</dcterms:created>
  <dcterms:modified xsi:type="dcterms:W3CDTF">2020-11-27T07:50:00Z</dcterms:modified>
</cp:coreProperties>
</file>