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9A3F" w14:textId="77777777" w:rsidR="00D81B66" w:rsidRDefault="00E04CEF">
      <w:pPr>
        <w:pStyle w:val="aa"/>
        <w:spacing w:beforeAutospacing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НИЖНЕБОРКОВСКОГО СЕЛЬСОВЕТА</w:t>
      </w:r>
      <w:r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</w:rPr>
        <w:t>ГОРШЕЧЕНСКОГО  РАЙОНА</w:t>
      </w:r>
    </w:p>
    <w:p w14:paraId="0F9C5754" w14:textId="77777777" w:rsidR="00D81B66" w:rsidRDefault="00E04CEF">
      <w:pPr>
        <w:pStyle w:val="aa"/>
        <w:spacing w:beforeAutospacing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КУРСКОЙ ОБЛАСТИ</w:t>
      </w:r>
    </w:p>
    <w:p w14:paraId="7BCEEF54" w14:textId="39DB8904" w:rsidR="00D81B66" w:rsidRPr="00E04CEF" w:rsidRDefault="00E04CEF">
      <w:pPr>
        <w:pStyle w:val="aa"/>
        <w:spacing w:before="280" w:after="280"/>
        <w:jc w:val="center"/>
        <w:rPr>
          <w:lang w:val="en-US"/>
        </w:rPr>
      </w:pPr>
      <w:r>
        <w:rPr>
          <w:rStyle w:val="a3"/>
          <w:color w:val="000000"/>
          <w:sz w:val="28"/>
          <w:szCs w:val="28"/>
        </w:rPr>
        <w:t>ПОСТАНОВЛЕНИЕ</w:t>
      </w:r>
      <w:r>
        <w:rPr>
          <w:rStyle w:val="a3"/>
          <w:color w:val="000000"/>
          <w:sz w:val="28"/>
          <w:szCs w:val="28"/>
          <w:lang w:val="en-US"/>
        </w:rPr>
        <w:t xml:space="preserve"> </w:t>
      </w:r>
    </w:p>
    <w:p w14:paraId="4CC06419" w14:textId="77777777" w:rsidR="00D81B66" w:rsidRDefault="00E04CEF">
      <w:pPr>
        <w:pStyle w:val="aa"/>
        <w:spacing w:before="280" w:after="28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от 01.04.2022 года       № 13</w:t>
      </w:r>
    </w:p>
    <w:p w14:paraId="0BCCF338" w14:textId="77777777" w:rsidR="00D81B66" w:rsidRDefault="00E04CEF">
      <w:pPr>
        <w:pStyle w:val="aa"/>
        <w:spacing w:beforeAutospacing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Об утверждении Плана  тушения  ландшафтных пожаров на территории  Нижнеборковского сельсовета Горшеченского района Курской области </w:t>
      </w:r>
    </w:p>
    <w:p w14:paraId="509B608B" w14:textId="77777777" w:rsidR="00D81B66" w:rsidRDefault="00E04CEF">
      <w:pPr>
        <w:pStyle w:val="aa"/>
        <w:spacing w:beforeAutospacing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 2022 году</w:t>
      </w:r>
    </w:p>
    <w:p w14:paraId="73D38CFC" w14:textId="77777777" w:rsidR="00D81B66" w:rsidRDefault="00E04CEF">
      <w:pPr>
        <w:pStyle w:val="aa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           В целях обеспечения пожарной безопасности на территории  Нижнеборковского сельсовета  Горшеченского </w:t>
      </w:r>
      <w:r>
        <w:rPr>
          <w:color w:val="000000"/>
        </w:rPr>
        <w:t>района  Курской области, в соответствии с Федеральным законом от 21 декабря 1994 г. № 69-ФЗ «О пожарной безопасности», Правилами пожарной безопасности в Российской федерации (ППБ 01-03), во исполнение  Решения   Комиссии по чрезвычайным ситуациям и обеспеч</w:t>
      </w:r>
      <w:r>
        <w:rPr>
          <w:color w:val="000000"/>
        </w:rPr>
        <w:t>ению пожарной безопасности Администрации   Горшеченского района  Курской области, руководствуясь Уставом  МО «Нижнеборковский сельсовет»   Горшеченского района  Курской области  Администрация  Нижнеборковского сельсовета  Горшеченского района  Курской обла</w:t>
      </w:r>
      <w:r>
        <w:rPr>
          <w:color w:val="000000"/>
        </w:rPr>
        <w:t xml:space="preserve">сти  </w:t>
      </w:r>
      <w:r>
        <w:rPr>
          <w:b/>
          <w:color w:val="000000"/>
        </w:rPr>
        <w:t>ПОСТАНОВЛЯЕТ:</w:t>
      </w:r>
    </w:p>
    <w:p w14:paraId="15D48D3F" w14:textId="77777777" w:rsidR="00D81B66" w:rsidRDefault="00E04CEF">
      <w:pPr>
        <w:pStyle w:val="aa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        1. Утвердить План тушения ландшафтных пожаров на территории  Нижнеборковского сельсовета   Горшеченского района  Курской области в 2022 году  согласно приложению к настоящему постановлению. </w:t>
      </w:r>
    </w:p>
    <w:p w14:paraId="163B5A5E" w14:textId="77777777" w:rsidR="00D81B66" w:rsidRDefault="00E04CEF">
      <w:pPr>
        <w:pStyle w:val="consplustitle"/>
        <w:spacing w:before="280" w:after="280"/>
        <w:rPr>
          <w:color w:val="000000"/>
        </w:rPr>
      </w:pPr>
      <w:r>
        <w:rPr>
          <w:color w:val="000000"/>
        </w:rPr>
        <w:t xml:space="preserve">          2. Контроль за исполнением </w:t>
      </w:r>
      <w:r>
        <w:rPr>
          <w:color w:val="000000"/>
        </w:rPr>
        <w:t>настоящего постановления оставляю за собой</w:t>
      </w:r>
    </w:p>
    <w:p w14:paraId="7E068FA0" w14:textId="77777777" w:rsidR="00D81B66" w:rsidRDefault="00E04CEF">
      <w:pPr>
        <w:pStyle w:val="consplustitle"/>
        <w:spacing w:before="280" w:after="280"/>
        <w:rPr>
          <w:color w:val="000000"/>
        </w:rPr>
      </w:pPr>
      <w:r>
        <w:rPr>
          <w:color w:val="000000"/>
        </w:rPr>
        <w:t xml:space="preserve">          3. Постановление вступает в силу с момента его подписания.</w:t>
      </w:r>
    </w:p>
    <w:p w14:paraId="5CC0F844" w14:textId="77777777" w:rsidR="00D81B66" w:rsidRDefault="00D81B66">
      <w:pPr>
        <w:pStyle w:val="aa"/>
        <w:spacing w:before="280" w:after="280"/>
        <w:jc w:val="both"/>
        <w:rPr>
          <w:color w:val="000000"/>
        </w:rPr>
      </w:pPr>
    </w:p>
    <w:p w14:paraId="72012E61" w14:textId="77777777" w:rsidR="00D81B66" w:rsidRDefault="00D81B66">
      <w:pPr>
        <w:pStyle w:val="aa"/>
        <w:spacing w:before="280" w:after="280"/>
        <w:jc w:val="both"/>
        <w:rPr>
          <w:color w:val="000000"/>
        </w:rPr>
      </w:pPr>
    </w:p>
    <w:p w14:paraId="325D2BBC" w14:textId="77777777" w:rsidR="00D81B66" w:rsidRDefault="00E04CEF">
      <w:pPr>
        <w:pStyle w:val="aa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          И.о. Главы Нижнеборковского сельсовета                                            </w:t>
      </w:r>
    </w:p>
    <w:p w14:paraId="3B63A5BC" w14:textId="77777777" w:rsidR="00D81B66" w:rsidRDefault="00E04CEF">
      <w:pPr>
        <w:pStyle w:val="aa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          Горшеченского района                 </w:t>
      </w:r>
      <w:r>
        <w:rPr>
          <w:color w:val="000000"/>
        </w:rPr>
        <w:t xml:space="preserve">                                               Е.М.Хархардина</w:t>
      </w:r>
    </w:p>
    <w:p w14:paraId="78DA0059" w14:textId="77777777" w:rsidR="00D81B66" w:rsidRDefault="00D81B66">
      <w:pPr>
        <w:pStyle w:val="aa"/>
        <w:spacing w:before="280" w:after="280"/>
        <w:jc w:val="both"/>
        <w:rPr>
          <w:color w:val="000000"/>
        </w:rPr>
      </w:pPr>
    </w:p>
    <w:p w14:paraId="5E4C5B7A" w14:textId="77777777" w:rsidR="00D81B66" w:rsidRDefault="00D81B66">
      <w:pPr>
        <w:pStyle w:val="aa"/>
        <w:spacing w:before="280" w:after="280"/>
        <w:jc w:val="both"/>
        <w:rPr>
          <w:color w:val="000000"/>
        </w:rPr>
      </w:pPr>
    </w:p>
    <w:p w14:paraId="325E4EFB" w14:textId="77777777" w:rsidR="00D81B66" w:rsidRDefault="00D81B66">
      <w:pPr>
        <w:pStyle w:val="aa"/>
        <w:spacing w:before="280" w:after="2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708D018" w14:textId="77777777" w:rsidR="00D81B66" w:rsidRDefault="00D81B66">
      <w:pPr>
        <w:pStyle w:val="aa"/>
        <w:spacing w:before="280" w:after="28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58240B8C" w14:textId="77777777" w:rsidR="00D81B66" w:rsidRDefault="00D81B66">
      <w:pPr>
        <w:pStyle w:val="aa"/>
        <w:spacing w:before="280" w:after="280"/>
        <w:rPr>
          <w:rFonts w:ascii="Tahoma" w:hAnsi="Tahoma" w:cs="Tahoma"/>
          <w:color w:val="000000"/>
          <w:sz w:val="20"/>
          <w:szCs w:val="20"/>
        </w:rPr>
      </w:pPr>
    </w:p>
    <w:p w14:paraId="79DBEA19" w14:textId="77777777" w:rsidR="00D81B66" w:rsidRDefault="00D81B66">
      <w:pPr>
        <w:pStyle w:val="aa"/>
        <w:spacing w:before="280" w:after="280"/>
        <w:jc w:val="right"/>
        <w:rPr>
          <w:color w:val="252519"/>
        </w:rPr>
      </w:pPr>
    </w:p>
    <w:p w14:paraId="04B0C509" w14:textId="77777777" w:rsidR="00D81B66" w:rsidRDefault="00D81B66">
      <w:pPr>
        <w:pStyle w:val="aa"/>
        <w:spacing w:before="280" w:after="280"/>
        <w:jc w:val="right"/>
        <w:rPr>
          <w:color w:val="252519"/>
        </w:rPr>
      </w:pPr>
    </w:p>
    <w:p w14:paraId="0C8398CE" w14:textId="77777777" w:rsidR="00D81B66" w:rsidRDefault="00E04CEF">
      <w:pPr>
        <w:pStyle w:val="aa"/>
        <w:spacing w:beforeAutospacing="0" w:afterAutospacing="0"/>
        <w:jc w:val="right"/>
        <w:rPr>
          <w:color w:val="252519"/>
        </w:rPr>
      </w:pPr>
      <w:r>
        <w:rPr>
          <w:color w:val="252519"/>
        </w:rPr>
        <w:lastRenderedPageBreak/>
        <w:t xml:space="preserve">Приложение </w:t>
      </w:r>
    </w:p>
    <w:p w14:paraId="2F89C298" w14:textId="77777777" w:rsidR="00D81B66" w:rsidRDefault="00E04CEF">
      <w:pPr>
        <w:pStyle w:val="aa"/>
        <w:spacing w:beforeAutospacing="0" w:afterAutospacing="0"/>
        <w:jc w:val="right"/>
        <w:rPr>
          <w:color w:val="252519"/>
        </w:rPr>
      </w:pPr>
      <w:r>
        <w:rPr>
          <w:color w:val="252519"/>
        </w:rPr>
        <w:t xml:space="preserve">к  постановлению </w:t>
      </w:r>
    </w:p>
    <w:p w14:paraId="52FB1E0E" w14:textId="77777777" w:rsidR="00D81B66" w:rsidRDefault="00E04CEF">
      <w:pPr>
        <w:pStyle w:val="aa"/>
        <w:spacing w:beforeAutospacing="0" w:afterAutospacing="0"/>
        <w:jc w:val="right"/>
        <w:rPr>
          <w:color w:val="252519"/>
        </w:rPr>
      </w:pPr>
      <w:r>
        <w:rPr>
          <w:color w:val="252519"/>
        </w:rPr>
        <w:t>от 01.04.2022г.№13</w:t>
      </w:r>
    </w:p>
    <w:p w14:paraId="06BCDAF4" w14:textId="77777777" w:rsidR="00D81B66" w:rsidRDefault="00E04CEF">
      <w:pPr>
        <w:pStyle w:val="aa"/>
        <w:spacing w:beforeAutospacing="0" w:afterAutospacing="0"/>
        <w:jc w:val="center"/>
        <w:rPr>
          <w:color w:val="252519"/>
        </w:rPr>
      </w:pPr>
      <w:r>
        <w:rPr>
          <w:rStyle w:val="a3"/>
          <w:color w:val="252519"/>
        </w:rPr>
        <w:t>ПЛАН</w:t>
      </w:r>
    </w:p>
    <w:p w14:paraId="16286A48" w14:textId="77777777" w:rsidR="00D81B66" w:rsidRDefault="00E04CEF">
      <w:pPr>
        <w:pStyle w:val="aa"/>
        <w:spacing w:beforeAutospacing="0" w:afterAutospacing="0"/>
        <w:jc w:val="center"/>
        <w:rPr>
          <w:color w:val="252519"/>
        </w:rPr>
      </w:pPr>
      <w:r>
        <w:rPr>
          <w:rStyle w:val="a3"/>
          <w:color w:val="252519"/>
        </w:rPr>
        <w:t>тушения ландшафтных пожаров на территории Нижнеборковского сельсовета Горшеченского района Курской области в 2022 году</w:t>
      </w:r>
    </w:p>
    <w:p w14:paraId="27820301" w14:textId="77777777" w:rsidR="00D81B66" w:rsidRDefault="00E04CEF">
      <w:pPr>
        <w:pStyle w:val="aa"/>
        <w:spacing w:before="280" w:after="280"/>
        <w:jc w:val="both"/>
        <w:rPr>
          <w:color w:val="252519"/>
        </w:rPr>
      </w:pPr>
      <w:r>
        <w:rPr>
          <w:color w:val="252519"/>
        </w:rPr>
        <w:t xml:space="preserve">        1. Для принятия мер по сохранению территорий и обеспечению нормальной жизнедеятельности населения, бесперебойной работы лесохозяйственных ор</w:t>
      </w:r>
      <w:r>
        <w:rPr>
          <w:color w:val="252519"/>
        </w:rPr>
        <w:softHyphen/>
        <w:t>ганизаций, с установлением сухой пожароопасной погоды силами специали</w:t>
      </w:r>
      <w:r>
        <w:rPr>
          <w:color w:val="252519"/>
        </w:rPr>
        <w:softHyphen/>
        <w:t>стов на основе разработанных методик,</w:t>
      </w:r>
      <w:r>
        <w:rPr>
          <w:color w:val="252519"/>
        </w:rPr>
        <w:t xml:space="preserve"> вести наблюдение и анализ складывающейся пожарной обстановки, прогнозировать сте</w:t>
      </w:r>
      <w:r>
        <w:rPr>
          <w:color w:val="252519"/>
        </w:rPr>
        <w:softHyphen/>
        <w:t>пень возможной пожарной опасности.</w:t>
      </w:r>
    </w:p>
    <w:p w14:paraId="41BA15B4" w14:textId="77777777" w:rsidR="00D81B66" w:rsidRDefault="00E04CEF">
      <w:pPr>
        <w:ind w:left="360"/>
        <w:jc w:val="both"/>
        <w:rPr>
          <w:color w:val="252519"/>
        </w:rPr>
      </w:pPr>
      <w:r>
        <w:rPr>
          <w:color w:val="252519"/>
        </w:rPr>
        <w:t>1) Готовить предложения для администрации на введение необходимых степеней готовности органов управления, подготовки необходимых сил и сред</w:t>
      </w:r>
      <w:r>
        <w:rPr>
          <w:color w:val="252519"/>
        </w:rPr>
        <w:t>ств, ограничение доступа в наиболее пожароопасные районы.</w:t>
      </w:r>
    </w:p>
    <w:p w14:paraId="1ADF7A27" w14:textId="77777777" w:rsidR="00D81B66" w:rsidRDefault="00D81B66">
      <w:pPr>
        <w:jc w:val="both"/>
        <w:rPr>
          <w:color w:val="252519"/>
        </w:rPr>
      </w:pPr>
    </w:p>
    <w:p w14:paraId="0A5DE2E4" w14:textId="77777777" w:rsidR="00D81B66" w:rsidRDefault="00E04CEF">
      <w:pPr>
        <w:ind w:left="360"/>
        <w:jc w:val="both"/>
        <w:rPr>
          <w:color w:val="252519"/>
        </w:rPr>
      </w:pPr>
      <w:r>
        <w:rPr>
          <w:color w:val="252519"/>
        </w:rPr>
        <w:t>2) При увеличении пожарной опасности более 3 баллов, вводить режим повышенной опасности, организовывать круглосуточное дежурство руково</w:t>
      </w:r>
      <w:r>
        <w:rPr>
          <w:color w:val="252519"/>
        </w:rPr>
        <w:softHyphen/>
        <w:t>дящего состава, усиливать наблюдения, а при возникновении заг</w:t>
      </w:r>
      <w:r>
        <w:rPr>
          <w:color w:val="252519"/>
        </w:rPr>
        <w:t>ораний органи</w:t>
      </w:r>
      <w:r>
        <w:rPr>
          <w:color w:val="252519"/>
        </w:rPr>
        <w:softHyphen/>
        <w:t>зовывать работы по локализации и ликвидации пожаров имеющими силами и средствами.</w:t>
      </w:r>
    </w:p>
    <w:p w14:paraId="4ED60B8F" w14:textId="77777777" w:rsidR="00D81B66" w:rsidRDefault="00D81B66">
      <w:pPr>
        <w:jc w:val="both"/>
        <w:rPr>
          <w:color w:val="252519"/>
        </w:rPr>
      </w:pPr>
    </w:p>
    <w:p w14:paraId="048658C6" w14:textId="77777777" w:rsidR="00D81B66" w:rsidRDefault="00E04CEF">
      <w:pPr>
        <w:ind w:left="360"/>
        <w:jc w:val="both"/>
        <w:rPr>
          <w:color w:val="252519"/>
        </w:rPr>
      </w:pPr>
      <w:r>
        <w:rPr>
          <w:color w:val="252519"/>
        </w:rPr>
        <w:t>3) При увеличении пожарной опасности более 5 баллов, возникновении большогоколичества загораний и пожаров  вво</w:t>
      </w:r>
      <w:r>
        <w:rPr>
          <w:color w:val="252519"/>
        </w:rPr>
        <w:softHyphen/>
        <w:t>дить на территории муниципального образования чр</w:t>
      </w:r>
      <w:r>
        <w:rPr>
          <w:color w:val="252519"/>
        </w:rPr>
        <w:t>езвычайный режим со всеми вытекающими последствиями: введение круглосуточного дежурства  и привлечением сил и средств Нижнеборковского сельсовета  Горшеченского района Курской области.</w:t>
      </w:r>
    </w:p>
    <w:p w14:paraId="31086605" w14:textId="77777777" w:rsidR="00D81B66" w:rsidRDefault="00E04CEF">
      <w:pPr>
        <w:ind w:left="360"/>
        <w:jc w:val="both"/>
        <w:rPr>
          <w:color w:val="252519"/>
        </w:rPr>
      </w:pPr>
      <w:r>
        <w:rPr>
          <w:color w:val="252519"/>
        </w:rPr>
        <w:t>В первую очередь использовать силы и средства ДПД Нижнеборковского сель</w:t>
      </w:r>
      <w:r>
        <w:rPr>
          <w:color w:val="252519"/>
        </w:rPr>
        <w:t>совета Горшеченского района  Курской области:</w:t>
      </w:r>
    </w:p>
    <w:p w14:paraId="2A3E893C" w14:textId="77777777" w:rsidR="00D81B66" w:rsidRDefault="00E04CEF">
      <w:pPr>
        <w:pStyle w:val="aa"/>
        <w:spacing w:before="280" w:after="280"/>
        <w:jc w:val="both"/>
        <w:rPr>
          <w:color w:val="252519"/>
        </w:rPr>
      </w:pPr>
      <w:r>
        <w:rPr>
          <w:color w:val="252519"/>
        </w:rPr>
        <w:t>1.  Числен</w:t>
      </w:r>
      <w:r>
        <w:rPr>
          <w:color w:val="252519"/>
        </w:rPr>
        <w:softHyphen/>
        <w:t>ный состав  ДПД - 5 человек, инвентарь: лопаты, метла, ранцевые огнетушители-  4шт., пила и т.д.</w:t>
      </w:r>
    </w:p>
    <w:p w14:paraId="3C239E36" w14:textId="77777777" w:rsidR="00D81B66" w:rsidRDefault="00E04CEF">
      <w:pPr>
        <w:jc w:val="both"/>
        <w:rPr>
          <w:color w:val="252519"/>
        </w:rPr>
      </w:pPr>
      <w:r>
        <w:rPr>
          <w:color w:val="252519"/>
        </w:rPr>
        <w:t>2. Формирования и техника, выделяемые на лесные пожары от организаций:</w:t>
      </w:r>
    </w:p>
    <w:tbl>
      <w:tblPr>
        <w:tblW w:w="9386" w:type="dxa"/>
        <w:jc w:val="center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506"/>
        <w:gridCol w:w="2387"/>
        <w:gridCol w:w="1788"/>
        <w:gridCol w:w="897"/>
        <w:gridCol w:w="1122"/>
        <w:gridCol w:w="616"/>
        <w:gridCol w:w="584"/>
        <w:gridCol w:w="794"/>
        <w:gridCol w:w="692"/>
      </w:tblGrid>
      <w:tr w:rsidR="00D81B66" w14:paraId="463AF14C" w14:textId="77777777">
        <w:trPr>
          <w:jc w:val="center"/>
        </w:trPr>
        <w:tc>
          <w:tcPr>
            <w:tcW w:w="5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9482C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N п/п</w:t>
            </w:r>
          </w:p>
        </w:tc>
        <w:tc>
          <w:tcPr>
            <w:tcW w:w="23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28F8E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 xml:space="preserve">Наименование </w:t>
            </w:r>
            <w:r>
              <w:rPr>
                <w:rFonts w:ascii="Tahoma" w:hAnsi="Tahoma" w:cs="Tahoma"/>
                <w:color w:val="252519"/>
                <w:sz w:val="20"/>
                <w:szCs w:val="20"/>
              </w:rPr>
              <w:t>организации</w:t>
            </w:r>
          </w:p>
        </w:tc>
        <w:tc>
          <w:tcPr>
            <w:tcW w:w="17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A370A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Фамилия ответственно</w:t>
            </w:r>
            <w:r>
              <w:rPr>
                <w:rFonts w:ascii="Tahoma" w:hAnsi="Tahoma" w:cs="Tahoma"/>
                <w:color w:val="252519"/>
                <w:sz w:val="20"/>
                <w:szCs w:val="20"/>
              </w:rPr>
              <w:softHyphen/>
              <w:t>го</w:t>
            </w:r>
          </w:p>
        </w:tc>
        <w:tc>
          <w:tcPr>
            <w:tcW w:w="20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7E6F99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№ телефона</w:t>
            </w:r>
          </w:p>
        </w:tc>
        <w:tc>
          <w:tcPr>
            <w:tcW w:w="26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C08CF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Выделяется</w:t>
            </w:r>
          </w:p>
        </w:tc>
      </w:tr>
      <w:tr w:rsidR="00D81B66" w14:paraId="4A994FE1" w14:textId="77777777">
        <w:trPr>
          <w:jc w:val="center"/>
        </w:trPr>
        <w:tc>
          <w:tcPr>
            <w:tcW w:w="5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47D370" w14:textId="77777777" w:rsidR="00D81B66" w:rsidRDefault="00D81B66">
            <w:pPr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23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75FEF" w14:textId="77777777" w:rsidR="00D81B66" w:rsidRDefault="00D81B66">
            <w:pPr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780B0C" w14:textId="77777777" w:rsidR="00D81B66" w:rsidRDefault="00D81B66">
            <w:pPr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CA02E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раб.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A9CFDD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дом. моб.</w:t>
            </w:r>
          </w:p>
        </w:tc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8323F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чел.</w:t>
            </w:r>
          </w:p>
        </w:tc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C5003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а/м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6549D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Тракт.</w:t>
            </w:r>
          </w:p>
        </w:tc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88D67E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инв.</w:t>
            </w:r>
          </w:p>
        </w:tc>
      </w:tr>
      <w:tr w:rsidR="00D81B66" w14:paraId="498B4A8D" w14:textId="77777777">
        <w:trPr>
          <w:jc w:val="center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A35BD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1.</w:t>
            </w:r>
          </w:p>
        </w:tc>
        <w:tc>
          <w:tcPr>
            <w:tcW w:w="2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C8D0C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ООО «Восход»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8BC2BA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Пахомов В.М.</w:t>
            </w: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BA2A59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F74478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9207336943</w:t>
            </w:r>
          </w:p>
        </w:tc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A628C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5</w:t>
            </w:r>
          </w:p>
        </w:tc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35C1D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1BAC6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Т-150</w:t>
            </w:r>
          </w:p>
        </w:tc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8709AF" w14:textId="77777777" w:rsidR="00D81B66" w:rsidRDefault="00E04CEF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  <w:t>10</w:t>
            </w:r>
          </w:p>
        </w:tc>
      </w:tr>
      <w:tr w:rsidR="00D81B66" w14:paraId="3C8BDA2D" w14:textId="77777777">
        <w:trPr>
          <w:jc w:val="center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7E41A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B6B454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30D029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E7FFA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04D71" w14:textId="77777777" w:rsidR="00D81B66" w:rsidRDefault="00D81B66">
            <w:pPr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57EE07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32D54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EBE7E" w14:textId="77777777" w:rsidR="00D81B66" w:rsidRDefault="00E04CEF">
            <w:pPr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Маниту</w:t>
            </w:r>
          </w:p>
        </w:tc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DEAC7C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</w:tr>
      <w:tr w:rsidR="00D81B66" w14:paraId="064FFC78" w14:textId="77777777">
        <w:trPr>
          <w:jc w:val="center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DD4FA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20527C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094CD1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4CBBD" w14:textId="77777777" w:rsidR="00D81B66" w:rsidRDefault="00D81B66">
            <w:pPr>
              <w:pStyle w:val="aa"/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98D505" w14:textId="77777777" w:rsidR="00D81B66" w:rsidRDefault="00D81B66">
            <w:pPr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105F7" w14:textId="77777777" w:rsidR="00D81B66" w:rsidRDefault="00D81B66">
            <w:pPr>
              <w:pStyle w:val="aa"/>
              <w:widowControl w:val="0"/>
              <w:jc w:val="both"/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BEDD2C" w14:textId="77777777" w:rsidR="00D81B66" w:rsidRDefault="00D81B66">
            <w:pPr>
              <w:pStyle w:val="aa"/>
              <w:widowControl w:val="0"/>
              <w:jc w:val="both"/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7D857" w14:textId="77777777" w:rsidR="00D81B66" w:rsidRDefault="00E04CEF">
            <w:pPr>
              <w:widowControl w:val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  <w:r>
              <w:rPr>
                <w:rFonts w:ascii="Tahoma" w:hAnsi="Tahoma" w:cs="Tahoma"/>
                <w:color w:val="252519"/>
                <w:sz w:val="20"/>
                <w:szCs w:val="20"/>
              </w:rPr>
              <w:t>МТЗ-82</w:t>
            </w:r>
          </w:p>
        </w:tc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738F5E" w14:textId="77777777" w:rsidR="00D81B66" w:rsidRDefault="00D81B66">
            <w:pPr>
              <w:pStyle w:val="aa"/>
              <w:widowControl w:val="0"/>
              <w:jc w:val="both"/>
              <w:rPr>
                <w:rStyle w:val="a3"/>
                <w:rFonts w:ascii="Tahoma" w:hAnsi="Tahoma" w:cs="Tahoma"/>
                <w:color w:val="252519"/>
                <w:sz w:val="20"/>
                <w:szCs w:val="20"/>
              </w:rPr>
            </w:pPr>
          </w:p>
        </w:tc>
      </w:tr>
    </w:tbl>
    <w:p w14:paraId="4595299C" w14:textId="77777777" w:rsidR="00D81B66" w:rsidRDefault="00D81B66">
      <w:pPr>
        <w:jc w:val="both"/>
      </w:pPr>
    </w:p>
    <w:p w14:paraId="066A3159" w14:textId="77777777" w:rsidR="00D81B66" w:rsidRDefault="00D81B66">
      <w:pPr>
        <w:jc w:val="both"/>
      </w:pPr>
    </w:p>
    <w:sectPr w:rsidR="00D81B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B66"/>
    <w:rsid w:val="00D81B66"/>
    <w:rsid w:val="00E0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3B5"/>
  <w15:docId w15:val="{A0073509-4E20-4188-91F7-86D90290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41CF"/>
    <w:rPr>
      <w:b/>
      <w:bCs/>
    </w:rPr>
  </w:style>
  <w:style w:type="character" w:customStyle="1" w:styleId="a4">
    <w:name w:val="Текст выноски Знак"/>
    <w:basedOn w:val="a0"/>
    <w:qFormat/>
    <w:rsid w:val="0028473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a">
    <w:name w:val="Normal (Web)"/>
    <w:basedOn w:val="a"/>
    <w:qFormat/>
    <w:rsid w:val="009E41CF"/>
    <w:pPr>
      <w:spacing w:beforeAutospacing="1" w:afterAutospacing="1"/>
    </w:pPr>
  </w:style>
  <w:style w:type="paragraph" w:customStyle="1" w:styleId="consplustitle">
    <w:name w:val="consplustitle"/>
    <w:basedOn w:val="a"/>
    <w:qFormat/>
    <w:rsid w:val="009E41CF"/>
    <w:pPr>
      <w:spacing w:beforeAutospacing="1" w:afterAutospacing="1"/>
    </w:pPr>
  </w:style>
  <w:style w:type="paragraph" w:styleId="ab">
    <w:name w:val="Balloon Text"/>
    <w:basedOn w:val="a"/>
    <w:qFormat/>
    <w:rsid w:val="00284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KONSTANTINE</cp:lastModifiedBy>
  <cp:revision>17</cp:revision>
  <cp:lastPrinted>2022-03-21T13:47:00Z</cp:lastPrinted>
  <dcterms:created xsi:type="dcterms:W3CDTF">2018-03-25T10:33:00Z</dcterms:created>
  <dcterms:modified xsi:type="dcterms:W3CDTF">2023-12-11T07:43:00Z</dcterms:modified>
  <dc:language>ru-RU</dc:language>
</cp:coreProperties>
</file>